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autoSpaceDE w:val="0"/>
        <w:snapToGrid w:val="0"/>
        <w:spacing w:line="520" w:lineRule="exact"/>
        <w:rPr>
          <w:rFonts w:ascii="宋体" w:hAnsi="宋体"/>
          <w:b/>
          <w:bCs/>
          <w:sz w:val="24"/>
          <w:szCs w:val="24"/>
        </w:rPr>
      </w:pPr>
    </w:p>
    <w:p>
      <w:pPr>
        <w:spacing w:line="360" w:lineRule="auto"/>
        <w:jc w:val="center"/>
        <w:rPr>
          <w:rFonts w:hint="eastAsia" w:ascii="方正小标宋_GBK" w:hAnsi="方正小标宋_GBK" w:eastAsia="方正小标宋_GBK" w:cs="方正小标宋_GBK"/>
          <w:bCs/>
          <w:sz w:val="36"/>
          <w:szCs w:val="32"/>
          <w:lang w:eastAsia="zh-CN"/>
        </w:rPr>
      </w:pPr>
      <w:r>
        <w:rPr>
          <w:rFonts w:hint="eastAsia" w:ascii="方正小标宋_GBK" w:hAnsi="方正小标宋_GBK" w:eastAsia="方正小标宋_GBK" w:cs="方正小标宋_GBK"/>
          <w:bCs/>
          <w:sz w:val="36"/>
          <w:szCs w:val="32"/>
        </w:rPr>
        <w:t>第五届长三角师范院校教师智慧教学大赛</w:t>
      </w:r>
      <w:r>
        <w:rPr>
          <w:rFonts w:hint="eastAsia" w:ascii="方正小标宋_GBK" w:hAnsi="方正小标宋_GBK" w:eastAsia="方正小标宋_GBK" w:cs="方正小标宋_GBK"/>
          <w:b/>
          <w:bCs w:val="0"/>
          <w:sz w:val="36"/>
          <w:szCs w:val="32"/>
          <w:lang w:eastAsia="zh-CN"/>
        </w:rPr>
        <w:t>竞</w:t>
      </w:r>
      <w:r>
        <w:rPr>
          <w:rFonts w:hint="eastAsia" w:ascii="方正小标宋_GBK" w:hAnsi="方正小标宋_GBK" w:eastAsia="方正小标宋_GBK" w:cs="方正小标宋_GBK"/>
          <w:b w:val="0"/>
          <w:bCs/>
          <w:sz w:val="36"/>
          <w:szCs w:val="32"/>
          <w:lang w:eastAsia="zh-CN"/>
        </w:rPr>
        <w:t>赛</w:t>
      </w:r>
      <w:r>
        <w:rPr>
          <w:rFonts w:hint="eastAsia" w:ascii="方正小标宋_GBK" w:hAnsi="方正小标宋_GBK" w:eastAsia="方正小标宋_GBK" w:cs="方正小标宋_GBK"/>
          <w:b/>
          <w:bCs w:val="0"/>
          <w:sz w:val="36"/>
          <w:szCs w:val="32"/>
          <w:lang w:eastAsia="zh-CN"/>
        </w:rPr>
        <w:t>内容</w:t>
      </w:r>
    </w:p>
    <w:p>
      <w:pPr>
        <w:spacing w:line="360" w:lineRule="auto"/>
        <w:jc w:val="center"/>
        <w:rPr>
          <w:rFonts w:ascii="方正小标宋_GBK" w:hAnsi="方正小标宋_GBK" w:eastAsia="方正小标宋_GBK" w:cs="方正小标宋_GBK"/>
          <w:bCs/>
          <w:sz w:val="36"/>
          <w:szCs w:val="32"/>
        </w:rPr>
      </w:pPr>
      <w:r>
        <w:rPr>
          <w:rFonts w:hint="eastAsia" w:ascii="方正小标宋_GBK" w:hAnsi="方正小标宋_GBK" w:eastAsia="方正小标宋_GBK" w:cs="方正小标宋_GBK"/>
          <w:bCs/>
          <w:sz w:val="36"/>
          <w:szCs w:val="32"/>
        </w:rPr>
        <w:t>（含</w:t>
      </w:r>
      <w:r>
        <w:rPr>
          <w:rFonts w:ascii="方正小标宋_GBK" w:hAnsi="方正小标宋_GBK" w:eastAsia="方正小标宋_GBK" w:cs="方正小标宋_GBK"/>
          <w:bCs/>
          <w:sz w:val="36"/>
          <w:szCs w:val="32"/>
        </w:rPr>
        <w:t>评分标准</w:t>
      </w:r>
      <w:r>
        <w:rPr>
          <w:rFonts w:hint="eastAsia" w:ascii="方正小标宋_GBK" w:hAnsi="方正小标宋_GBK" w:eastAsia="方正小标宋_GBK" w:cs="方正小标宋_GBK"/>
          <w:bCs/>
          <w:sz w:val="36"/>
          <w:szCs w:val="32"/>
        </w:rPr>
        <w:t>）</w:t>
      </w:r>
    </w:p>
    <w:p>
      <w:pPr>
        <w:autoSpaceDE w:val="0"/>
        <w:snapToGrid w:val="0"/>
        <w:spacing w:line="540" w:lineRule="exact"/>
        <w:ind w:firstLine="560" w:firstLineChars="200"/>
        <w:rPr>
          <w:rFonts w:hint="eastAsia" w:ascii="仿宋_GB2312" w:hAnsi="仿宋_GB2312" w:eastAsia="仿宋_GB2312" w:cs="仿宋_GB2312"/>
          <w:sz w:val="28"/>
          <w:szCs w:val="28"/>
        </w:rPr>
      </w:pPr>
      <w:bookmarkStart w:id="0" w:name="_GoBack"/>
      <w:bookmarkEnd w:id="0"/>
    </w:p>
    <w:p>
      <w:pPr>
        <w:snapToGrid w:val="0"/>
        <w:spacing w:line="540" w:lineRule="exact"/>
        <w:rPr>
          <w:rFonts w:ascii="黑体" w:hAnsi="黑体" w:eastAsia="黑体" w:cs="黑体"/>
          <w:color w:val="000000"/>
          <w:sz w:val="28"/>
          <w:szCs w:val="28"/>
        </w:rPr>
      </w:pPr>
      <w:r>
        <w:rPr>
          <w:rFonts w:hint="eastAsia" w:ascii="黑体" w:hAnsi="黑体" w:eastAsia="黑体" w:cs="黑体"/>
          <w:color w:val="000000"/>
          <w:sz w:val="28"/>
          <w:szCs w:val="28"/>
          <w:lang w:eastAsia="zh-CN"/>
        </w:rPr>
        <w:t>一</w:t>
      </w:r>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竞</w:t>
      </w:r>
      <w:r>
        <w:rPr>
          <w:rFonts w:hint="eastAsia" w:ascii="黑体" w:hAnsi="黑体" w:eastAsia="黑体" w:cs="黑体"/>
          <w:color w:val="000000"/>
          <w:sz w:val="28"/>
          <w:szCs w:val="28"/>
        </w:rPr>
        <w:t>赛内容</w:t>
      </w:r>
    </w:p>
    <w:p>
      <w:pPr>
        <w:snapToGrid w:val="0"/>
        <w:spacing w:line="54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竞赛项目主要由智慧教学课程资源建设、教学设计和课堂教学三个部分组成。</w:t>
      </w:r>
    </w:p>
    <w:p>
      <w:pPr>
        <w:snapToGrid w:val="0"/>
        <w:spacing w:line="5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1.智慧教学课程资源建设（25%，线上提交）：</w:t>
      </w:r>
      <w:r>
        <w:rPr>
          <w:rFonts w:hint="eastAsia" w:ascii="仿宋_GB2312" w:hAnsi="仿宋_GB2312" w:eastAsia="仿宋_GB2312" w:cs="仿宋_GB2312"/>
          <w:sz w:val="28"/>
          <w:szCs w:val="28"/>
        </w:rPr>
        <w:t>要求参赛选手录制视频，介绍智慧教学平台应用和针对参赛课题的课程资源建设情况，课程资源包括课程介绍、教学大纲、微课教学视频、教学资源等。</w:t>
      </w:r>
    </w:p>
    <w:p>
      <w:pPr>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需要完成参赛课程中两个课题教学内容的智慧教学课程资源建设，需要把每个课题教学内容细分为若干个相对独立、完整的知识点，并针对每个知识点录制一个教学微视频；每个微视频时长在5-15分钟左右。</w:t>
      </w:r>
    </w:p>
    <w:p>
      <w:pPr>
        <w:autoSpaceDE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提交材料形式：5分钟课程资源介绍视频，MP4格式；课程资源清单（含课程资源访问方式、访问账号、密码等），Word格式。</w:t>
      </w:r>
    </w:p>
    <w:p>
      <w:pPr>
        <w:snapToGrid w:val="0"/>
        <w:spacing w:line="5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2.教学设计（15%，线上提交）：</w:t>
      </w:r>
      <w:r>
        <w:rPr>
          <w:rFonts w:hint="eastAsia" w:ascii="仿宋_GB2312" w:hAnsi="仿宋_GB2312" w:eastAsia="仿宋_GB2312" w:cs="仿宋_GB2312"/>
          <w:sz w:val="28"/>
          <w:szCs w:val="28"/>
        </w:rPr>
        <w:t>参赛选手选取课题开展教学设计，包括教学目的、教材分析（教学内容、重难点等）、学情分析、教学方法和策略、教学过程及教学评价与反思等。参赛选手需要完成两个课题的教学设计。</w:t>
      </w:r>
    </w:p>
    <w:p>
      <w:pPr>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提交材料形式：教学设计，PDF格式。</w:t>
      </w:r>
    </w:p>
    <w:p>
      <w:pPr>
        <w:snapToGrid w:val="0"/>
        <w:spacing w:line="5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3.课堂教学（60%，现场展示）:</w:t>
      </w:r>
      <w:r>
        <w:rPr>
          <w:rFonts w:hint="eastAsia" w:ascii="仿宋_GB2312" w:hAnsi="仿宋_GB2312" w:eastAsia="仿宋_GB2312" w:cs="仿宋_GB2312"/>
          <w:sz w:val="28"/>
          <w:szCs w:val="28"/>
        </w:rPr>
        <w:t>在学生课前已完成视频学习的基础上开展教学活动，应突出重点，突破难点，修正学生的错误认识，注重提高学生对知识的理解、应用、分析和评价能力。参赛选手要以学生为中心科学合理设计教学活动，体现课程思政元素，充分调动学生学习的积极性，鼓励课堂参与，在合作、讨论、问题解决中实现课堂教学目标的有效达成。</w:t>
      </w:r>
    </w:p>
    <w:p>
      <w:pPr>
        <w:autoSpaceDE w:val="0"/>
        <w:spacing w:line="540" w:lineRule="exact"/>
        <w:ind w:firstLine="560" w:firstLineChars="200"/>
        <w:rPr>
          <w:rFonts w:ascii="仿宋_GB2312" w:hAnsi="仿宋_GB2312" w:eastAsia="仿宋_GB2312" w:cs="仿宋_GB2312"/>
          <w:sz w:val="28"/>
          <w:szCs w:val="28"/>
        </w:rPr>
      </w:pPr>
    </w:p>
    <w:p>
      <w:pPr>
        <w:numPr>
          <w:ilvl w:val="0"/>
          <w:numId w:val="1"/>
        </w:numPr>
        <w:snapToGrid w:val="0"/>
        <w:spacing w:line="54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评分标准</w:t>
      </w:r>
    </w:p>
    <w:p>
      <w:pPr>
        <w:numPr>
          <w:numId w:val="0"/>
        </w:numPr>
        <w:snapToGrid w:val="0"/>
        <w:spacing w:line="540" w:lineRule="exact"/>
        <w:rPr>
          <w:rFonts w:hint="eastAsia" w:ascii="黑体" w:hAnsi="黑体" w:eastAsia="黑体" w:cs="黑体"/>
          <w:color w:val="000000"/>
          <w:sz w:val="28"/>
          <w:szCs w:val="28"/>
          <w:lang w:eastAsia="zh-CN"/>
        </w:rPr>
      </w:pPr>
    </w:p>
    <w:tbl>
      <w:tblPr>
        <w:tblStyle w:val="5"/>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735"/>
        <w:gridCol w:w="722"/>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项目</w:t>
            </w:r>
          </w:p>
        </w:tc>
        <w:tc>
          <w:tcPr>
            <w:tcW w:w="6735" w:type="dxa"/>
            <w:tcBorders>
              <w:top w:val="single" w:color="auto" w:sz="4" w:space="0"/>
              <w:left w:val="nil"/>
              <w:bottom w:val="single" w:color="auto" w:sz="4" w:space="0"/>
              <w:right w:val="single" w:color="auto" w:sz="4" w:space="0"/>
            </w:tcBorders>
            <w:vAlign w:val="center"/>
          </w:tcPr>
          <w:p>
            <w:pPr>
              <w:ind w:firstLine="480"/>
              <w:jc w:val="center"/>
              <w:rPr>
                <w:rFonts w:ascii="仿宋" w:hAnsi="仿宋" w:eastAsia="仿宋"/>
                <w:sz w:val="24"/>
              </w:rPr>
            </w:pPr>
            <w:r>
              <w:rPr>
                <w:rFonts w:hint="eastAsia" w:ascii="仿宋" w:hAnsi="仿宋" w:eastAsia="仿宋"/>
                <w:sz w:val="24"/>
              </w:rPr>
              <w:t>评分内容</w:t>
            </w:r>
          </w:p>
        </w:tc>
        <w:tc>
          <w:tcPr>
            <w:tcW w:w="722"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分值</w:t>
            </w:r>
          </w:p>
        </w:tc>
        <w:tc>
          <w:tcPr>
            <w:tcW w:w="819"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智慧教学课程资源建设</w:t>
            </w:r>
          </w:p>
        </w:tc>
        <w:tc>
          <w:tcPr>
            <w:tcW w:w="6735"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sz w:val="24"/>
              </w:rPr>
            </w:pPr>
            <w:r>
              <w:rPr>
                <w:rFonts w:hint="eastAsia" w:ascii="仿宋" w:hAnsi="仿宋" w:eastAsia="仿宋"/>
                <w:sz w:val="24"/>
              </w:rPr>
              <w:t>1.通过智慧教学平台，可查询相关课程资源；</w:t>
            </w:r>
          </w:p>
          <w:p>
            <w:pPr>
              <w:spacing w:line="360" w:lineRule="exact"/>
              <w:rPr>
                <w:rFonts w:ascii="仿宋" w:hAnsi="仿宋" w:eastAsia="仿宋"/>
                <w:sz w:val="24"/>
              </w:rPr>
            </w:pPr>
            <w:r>
              <w:rPr>
                <w:rFonts w:hint="eastAsia" w:ascii="仿宋" w:hAnsi="仿宋" w:eastAsia="仿宋"/>
                <w:sz w:val="24"/>
              </w:rPr>
              <w:t>2.平台上课程介绍和教学大纲完整；</w:t>
            </w:r>
          </w:p>
          <w:p>
            <w:pPr>
              <w:spacing w:line="360" w:lineRule="exact"/>
              <w:rPr>
                <w:rFonts w:ascii="仿宋" w:hAnsi="仿宋" w:eastAsia="仿宋"/>
                <w:sz w:val="24"/>
              </w:rPr>
            </w:pPr>
            <w:r>
              <w:rPr>
                <w:rFonts w:hint="eastAsia" w:ascii="仿宋" w:hAnsi="仿宋" w:eastAsia="仿宋"/>
                <w:sz w:val="24"/>
              </w:rPr>
              <w:t>3.平台上课程教学信息详实；</w:t>
            </w:r>
          </w:p>
          <w:p>
            <w:pPr>
              <w:spacing w:line="360" w:lineRule="exact"/>
              <w:rPr>
                <w:rFonts w:ascii="仿宋" w:hAnsi="仿宋" w:eastAsia="仿宋"/>
                <w:sz w:val="24"/>
              </w:rPr>
            </w:pPr>
            <w:r>
              <w:rPr>
                <w:rFonts w:hint="eastAsia" w:ascii="仿宋" w:hAnsi="仿宋" w:eastAsia="仿宋"/>
                <w:sz w:val="24"/>
              </w:rPr>
              <w:t>4.平台上课程教学资源丰富；</w:t>
            </w:r>
          </w:p>
          <w:p>
            <w:pPr>
              <w:spacing w:line="360" w:lineRule="exact"/>
              <w:rPr>
                <w:rFonts w:ascii="仿宋" w:hAnsi="仿宋" w:eastAsia="仿宋"/>
                <w:sz w:val="24"/>
              </w:rPr>
            </w:pPr>
            <w:r>
              <w:rPr>
                <w:rFonts w:hint="eastAsia" w:ascii="仿宋" w:hAnsi="仿宋" w:eastAsia="仿宋"/>
                <w:sz w:val="24"/>
              </w:rPr>
              <w:t>5.平台上课程教学活动视频合理、多样、及时；</w:t>
            </w:r>
          </w:p>
          <w:p>
            <w:pPr>
              <w:spacing w:line="360" w:lineRule="exact"/>
              <w:rPr>
                <w:rFonts w:ascii="仿宋" w:hAnsi="仿宋" w:eastAsia="仿宋"/>
                <w:sz w:val="24"/>
              </w:rPr>
            </w:pPr>
            <w:r>
              <w:rPr>
                <w:rFonts w:hint="eastAsia" w:ascii="仿宋" w:hAnsi="仿宋" w:eastAsia="仿宋"/>
                <w:sz w:val="24"/>
              </w:rPr>
              <w:t>6.教学内容精炼充实，基本概念准确，科学性强，逻辑严密、条理清楚、重点突出；</w:t>
            </w:r>
          </w:p>
          <w:p>
            <w:pPr>
              <w:spacing w:line="360" w:lineRule="exact"/>
              <w:rPr>
                <w:rFonts w:ascii="仿宋" w:hAnsi="仿宋" w:eastAsia="仿宋"/>
                <w:sz w:val="24"/>
              </w:rPr>
            </w:pPr>
            <w:r>
              <w:rPr>
                <w:rFonts w:hint="eastAsia" w:ascii="仿宋" w:hAnsi="仿宋" w:eastAsia="仿宋"/>
                <w:sz w:val="24"/>
              </w:rPr>
              <w:t>7.视频声音清晰、流畅、简洁，讲解深入浅出；</w:t>
            </w:r>
          </w:p>
          <w:p>
            <w:pPr>
              <w:spacing w:line="360" w:lineRule="exact"/>
              <w:rPr>
                <w:rFonts w:ascii="仿宋" w:hAnsi="仿宋" w:eastAsia="仿宋"/>
                <w:sz w:val="24"/>
              </w:rPr>
            </w:pPr>
            <w:r>
              <w:rPr>
                <w:rFonts w:hint="eastAsia" w:ascii="仿宋" w:hAnsi="仿宋" w:eastAsia="仿宋"/>
                <w:sz w:val="24"/>
              </w:rPr>
              <w:t>8.视频画面效果清晰、美观，有吸引力；</w:t>
            </w:r>
          </w:p>
          <w:p>
            <w:pPr>
              <w:spacing w:line="360" w:lineRule="exact"/>
              <w:rPr>
                <w:rFonts w:ascii="仿宋" w:hAnsi="仿宋" w:eastAsia="仿宋"/>
                <w:sz w:val="24"/>
              </w:rPr>
            </w:pPr>
            <w:r>
              <w:rPr>
                <w:rFonts w:hint="eastAsia" w:ascii="仿宋" w:hAnsi="仿宋" w:eastAsia="仿宋"/>
                <w:sz w:val="24"/>
              </w:rPr>
              <w:t>9.视频长度合适；</w:t>
            </w:r>
          </w:p>
          <w:p>
            <w:pPr>
              <w:spacing w:line="360" w:lineRule="exact"/>
              <w:rPr>
                <w:rFonts w:ascii="仿宋" w:hAnsi="仿宋" w:eastAsia="仿宋"/>
                <w:sz w:val="24"/>
              </w:rPr>
            </w:pPr>
            <w:r>
              <w:rPr>
                <w:rFonts w:hint="eastAsia" w:ascii="仿宋" w:hAnsi="仿宋" w:eastAsia="仿宋"/>
                <w:sz w:val="24"/>
              </w:rPr>
              <w:t xml:space="preserve">10.课件设计合理。 </w:t>
            </w:r>
          </w:p>
        </w:tc>
        <w:tc>
          <w:tcPr>
            <w:tcW w:w="722"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25</w:t>
            </w:r>
          </w:p>
        </w:tc>
        <w:tc>
          <w:tcPr>
            <w:tcW w:w="819"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sz w:val="24"/>
              </w:rPr>
            </w:pPr>
            <w:r>
              <w:rPr>
                <w:rFonts w:hint="eastAsia" w:ascii="仿宋" w:hAnsi="仿宋" w:eastAsia="仿宋"/>
                <w:sz w:val="24"/>
              </w:rPr>
              <w:t>教学设计</w:t>
            </w:r>
          </w:p>
        </w:tc>
        <w:tc>
          <w:tcPr>
            <w:tcW w:w="6735" w:type="dxa"/>
            <w:tcBorders>
              <w:top w:val="single" w:color="auto" w:sz="4" w:space="0"/>
              <w:left w:val="nil"/>
              <w:bottom w:val="single" w:color="auto" w:sz="4" w:space="0"/>
              <w:right w:val="single" w:color="auto" w:sz="4" w:space="0"/>
            </w:tcBorders>
          </w:tcPr>
          <w:p>
            <w:pPr>
              <w:widowControl/>
              <w:spacing w:line="360" w:lineRule="atLeast"/>
              <w:jc w:val="left"/>
              <w:rPr>
                <w:kern w:val="0"/>
                <w:szCs w:val="21"/>
              </w:rPr>
            </w:pPr>
            <w:r>
              <w:rPr>
                <w:rFonts w:hint="eastAsia" w:ascii="仿宋" w:hAnsi="仿宋" w:eastAsia="仿宋"/>
                <w:kern w:val="0"/>
                <w:sz w:val="24"/>
                <w:szCs w:val="24"/>
              </w:rPr>
              <w:t>1.课程信息完整、清楚；</w:t>
            </w:r>
          </w:p>
          <w:p>
            <w:pPr>
              <w:widowControl/>
              <w:spacing w:line="360" w:lineRule="atLeast"/>
              <w:jc w:val="left"/>
              <w:rPr>
                <w:kern w:val="0"/>
                <w:szCs w:val="21"/>
              </w:rPr>
            </w:pPr>
            <w:r>
              <w:rPr>
                <w:rFonts w:hint="eastAsia" w:ascii="仿宋" w:hAnsi="仿宋" w:eastAsia="仿宋"/>
                <w:kern w:val="0"/>
                <w:sz w:val="24"/>
                <w:szCs w:val="24"/>
              </w:rPr>
              <w:t>2.教学目标清楚、合理；</w:t>
            </w:r>
          </w:p>
          <w:p>
            <w:pPr>
              <w:widowControl/>
              <w:spacing w:line="360" w:lineRule="atLeast"/>
              <w:jc w:val="left"/>
              <w:rPr>
                <w:kern w:val="0"/>
                <w:szCs w:val="21"/>
              </w:rPr>
            </w:pPr>
            <w:r>
              <w:rPr>
                <w:rFonts w:hint="eastAsia" w:ascii="仿宋" w:hAnsi="仿宋" w:eastAsia="仿宋"/>
                <w:kern w:val="0"/>
                <w:sz w:val="24"/>
                <w:szCs w:val="24"/>
              </w:rPr>
              <w:t>3.教学内容安排合理、层次分明；</w:t>
            </w:r>
          </w:p>
          <w:p>
            <w:pPr>
              <w:widowControl/>
              <w:spacing w:line="360" w:lineRule="atLeast"/>
              <w:jc w:val="left"/>
              <w:rPr>
                <w:kern w:val="0"/>
                <w:szCs w:val="21"/>
              </w:rPr>
            </w:pPr>
            <w:r>
              <w:rPr>
                <w:rFonts w:hint="eastAsia" w:ascii="仿宋" w:hAnsi="仿宋" w:eastAsia="仿宋"/>
                <w:kern w:val="0"/>
                <w:sz w:val="24"/>
                <w:szCs w:val="24"/>
              </w:rPr>
              <w:t>4.教学设计合理、清楚、可行；</w:t>
            </w:r>
          </w:p>
          <w:p>
            <w:pPr>
              <w:widowControl/>
              <w:spacing w:line="360" w:lineRule="atLeast"/>
              <w:jc w:val="left"/>
              <w:rPr>
                <w:kern w:val="0"/>
                <w:szCs w:val="21"/>
              </w:rPr>
            </w:pPr>
            <w:r>
              <w:rPr>
                <w:rFonts w:hint="eastAsia" w:ascii="仿宋" w:hAnsi="仿宋" w:eastAsia="仿宋"/>
                <w:kern w:val="0"/>
                <w:sz w:val="24"/>
                <w:szCs w:val="24"/>
              </w:rPr>
              <w:t>5.教学活动及评价详细、全面、合理、可操作，教学目的明确、教学思路清晰；</w:t>
            </w:r>
          </w:p>
          <w:p>
            <w:pPr>
              <w:widowControl/>
              <w:spacing w:line="360" w:lineRule="atLeast"/>
              <w:jc w:val="left"/>
              <w:rPr>
                <w:kern w:val="0"/>
                <w:szCs w:val="21"/>
              </w:rPr>
            </w:pPr>
            <w:r>
              <w:rPr>
                <w:rFonts w:hint="eastAsia" w:ascii="仿宋" w:hAnsi="仿宋" w:eastAsia="仿宋"/>
                <w:kern w:val="0"/>
                <w:sz w:val="24"/>
                <w:szCs w:val="24"/>
              </w:rPr>
              <w:t>6.教学内容精炼充实，科学性强，理论联系实际，既符合教学大纲要求，又体现学科前沿；</w:t>
            </w:r>
          </w:p>
          <w:p>
            <w:pPr>
              <w:widowControl/>
              <w:spacing w:line="360" w:lineRule="atLeast"/>
              <w:jc w:val="left"/>
              <w:rPr>
                <w:kern w:val="0"/>
                <w:szCs w:val="21"/>
              </w:rPr>
            </w:pPr>
            <w:r>
              <w:rPr>
                <w:rFonts w:hint="eastAsia" w:ascii="仿宋" w:hAnsi="仿宋" w:eastAsia="仿宋"/>
                <w:kern w:val="0"/>
                <w:sz w:val="24"/>
                <w:szCs w:val="24"/>
              </w:rPr>
              <w:t>7.教学过程组织合理，方法运用恰当、有效；</w:t>
            </w:r>
          </w:p>
          <w:p>
            <w:pPr>
              <w:widowControl/>
              <w:spacing w:line="360" w:lineRule="atLeast"/>
              <w:jc w:val="left"/>
              <w:rPr>
                <w:rFonts w:ascii="仿宋" w:hAnsi="仿宋" w:eastAsia="仿宋"/>
                <w:kern w:val="0"/>
                <w:sz w:val="24"/>
                <w:szCs w:val="24"/>
              </w:rPr>
            </w:pPr>
            <w:r>
              <w:rPr>
                <w:rFonts w:hint="eastAsia" w:ascii="仿宋" w:hAnsi="仿宋" w:eastAsia="仿宋"/>
                <w:kern w:val="0"/>
                <w:sz w:val="24"/>
                <w:szCs w:val="24"/>
              </w:rPr>
              <w:t>8.文字表达准确、阐述清楚；</w:t>
            </w:r>
          </w:p>
          <w:p>
            <w:pPr>
              <w:spacing w:line="360" w:lineRule="exact"/>
              <w:rPr>
                <w:rFonts w:ascii="仿宋" w:hAnsi="仿宋" w:eastAsia="仿宋"/>
                <w:sz w:val="24"/>
              </w:rPr>
            </w:pPr>
            <w:r>
              <w:rPr>
                <w:rFonts w:hint="eastAsia" w:ascii="仿宋" w:hAnsi="仿宋" w:eastAsia="仿宋"/>
                <w:kern w:val="0"/>
                <w:sz w:val="24"/>
                <w:szCs w:val="24"/>
              </w:rPr>
              <w:t>9</w:t>
            </w:r>
            <w:r>
              <w:rPr>
                <w:rFonts w:ascii="仿宋" w:hAnsi="仿宋" w:eastAsia="仿宋"/>
                <w:kern w:val="0"/>
                <w:sz w:val="24"/>
                <w:szCs w:val="24"/>
              </w:rPr>
              <w:t>.</w:t>
            </w:r>
            <w:r>
              <w:rPr>
                <w:rFonts w:hint="eastAsia" w:ascii="仿宋" w:hAnsi="仿宋" w:eastAsia="仿宋"/>
                <w:kern w:val="0"/>
                <w:sz w:val="24"/>
                <w:szCs w:val="24"/>
              </w:rPr>
              <w:t>能够体现课程思政元素。</w:t>
            </w:r>
          </w:p>
        </w:tc>
        <w:tc>
          <w:tcPr>
            <w:tcW w:w="72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sz w:val="24"/>
              </w:rPr>
            </w:pPr>
            <w:r>
              <w:rPr>
                <w:rFonts w:hint="eastAsia" w:ascii="仿宋" w:hAnsi="仿宋" w:eastAsia="仿宋"/>
                <w:sz w:val="24"/>
              </w:rPr>
              <w:t>15</w:t>
            </w:r>
          </w:p>
        </w:tc>
        <w:tc>
          <w:tcPr>
            <w:tcW w:w="819" w:type="dxa"/>
            <w:tcBorders>
              <w:top w:val="single" w:color="auto" w:sz="4" w:space="0"/>
              <w:left w:val="nil"/>
              <w:bottom w:val="single" w:color="auto" w:sz="4" w:space="0"/>
              <w:right w:val="single" w:color="auto" w:sz="4" w:space="0"/>
            </w:tcBorders>
          </w:tcPr>
          <w:p>
            <w:pPr>
              <w:spacing w:line="3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sz w:val="24"/>
              </w:rPr>
            </w:pPr>
            <w:r>
              <w:rPr>
                <w:rFonts w:hint="eastAsia" w:ascii="仿宋" w:hAnsi="仿宋" w:eastAsia="仿宋"/>
                <w:sz w:val="24"/>
              </w:rPr>
              <w:t>课堂教学</w:t>
            </w:r>
          </w:p>
        </w:tc>
        <w:tc>
          <w:tcPr>
            <w:tcW w:w="6735"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sz w:val="24"/>
              </w:rPr>
            </w:pPr>
            <w:r>
              <w:rPr>
                <w:rFonts w:hint="eastAsia" w:ascii="仿宋" w:hAnsi="仿宋" w:eastAsia="仿宋"/>
                <w:sz w:val="24"/>
              </w:rPr>
              <w:t>1.仪态端庄，精神饱满，富有激情；</w:t>
            </w:r>
          </w:p>
          <w:p>
            <w:pPr>
              <w:spacing w:line="360" w:lineRule="exact"/>
              <w:rPr>
                <w:rFonts w:ascii="仿宋" w:hAnsi="仿宋" w:eastAsia="仿宋"/>
                <w:sz w:val="24"/>
              </w:rPr>
            </w:pPr>
            <w:r>
              <w:rPr>
                <w:rFonts w:hint="eastAsia" w:ascii="仿宋" w:hAnsi="仿宋" w:eastAsia="仿宋"/>
                <w:sz w:val="24"/>
              </w:rPr>
              <w:t>2.注重启发式教学，培养批判性思维；</w:t>
            </w:r>
          </w:p>
          <w:p>
            <w:pPr>
              <w:spacing w:line="360" w:lineRule="exact"/>
              <w:rPr>
                <w:rFonts w:ascii="仿宋" w:hAnsi="仿宋" w:eastAsia="仿宋"/>
                <w:sz w:val="24"/>
              </w:rPr>
            </w:pPr>
            <w:r>
              <w:rPr>
                <w:rFonts w:hint="eastAsia" w:ascii="仿宋" w:hAnsi="仿宋" w:eastAsia="仿宋"/>
                <w:sz w:val="24"/>
              </w:rPr>
              <w:t>3.注重师生互动，能有效调动学生积极主动思考；</w:t>
            </w:r>
          </w:p>
          <w:p>
            <w:pPr>
              <w:spacing w:line="360" w:lineRule="exact"/>
              <w:rPr>
                <w:rFonts w:ascii="仿宋" w:hAnsi="仿宋" w:eastAsia="仿宋"/>
                <w:sz w:val="24"/>
              </w:rPr>
            </w:pPr>
            <w:r>
              <w:rPr>
                <w:rFonts w:hint="eastAsia" w:ascii="仿宋" w:hAnsi="仿宋" w:eastAsia="仿宋"/>
                <w:sz w:val="24"/>
              </w:rPr>
              <w:t>4.及时发现学生问题，并开展有针对性的教学活动；</w:t>
            </w:r>
          </w:p>
          <w:p>
            <w:pPr>
              <w:spacing w:line="360" w:lineRule="exact"/>
              <w:rPr>
                <w:rFonts w:ascii="仿宋" w:hAnsi="仿宋" w:eastAsia="仿宋"/>
                <w:sz w:val="24"/>
              </w:rPr>
            </w:pPr>
            <w:r>
              <w:rPr>
                <w:rFonts w:hint="eastAsia" w:ascii="仿宋" w:hAnsi="仿宋" w:eastAsia="仿宋"/>
                <w:sz w:val="24"/>
              </w:rPr>
              <w:t>5.在视频基础上发展学生的高阶能力；</w:t>
            </w:r>
          </w:p>
          <w:p>
            <w:pPr>
              <w:spacing w:line="360" w:lineRule="exact"/>
              <w:rPr>
                <w:rFonts w:ascii="仿宋" w:hAnsi="仿宋" w:eastAsia="仿宋"/>
                <w:sz w:val="24"/>
              </w:rPr>
            </w:pPr>
            <w:r>
              <w:rPr>
                <w:rFonts w:hint="eastAsia" w:ascii="仿宋" w:hAnsi="仿宋" w:eastAsia="仿宋"/>
                <w:sz w:val="24"/>
              </w:rPr>
              <w:t>6.课堂应变能力强；</w:t>
            </w:r>
          </w:p>
          <w:p>
            <w:pPr>
              <w:spacing w:line="360" w:lineRule="exact"/>
              <w:rPr>
                <w:rFonts w:ascii="仿宋" w:hAnsi="仿宋" w:eastAsia="仿宋"/>
                <w:sz w:val="24"/>
              </w:rPr>
            </w:pPr>
            <w:r>
              <w:rPr>
                <w:rFonts w:hint="eastAsia" w:ascii="仿宋" w:hAnsi="仿宋" w:eastAsia="仿宋"/>
                <w:sz w:val="24"/>
              </w:rPr>
              <w:t>7.语言简洁，表述清晰准确；</w:t>
            </w:r>
          </w:p>
          <w:p>
            <w:pPr>
              <w:spacing w:line="360" w:lineRule="exact"/>
              <w:rPr>
                <w:rFonts w:ascii="仿宋" w:hAnsi="仿宋" w:eastAsia="仿宋"/>
                <w:sz w:val="24"/>
              </w:rPr>
            </w:pPr>
            <w:r>
              <w:rPr>
                <w:rFonts w:hint="eastAsia" w:ascii="仿宋" w:hAnsi="仿宋" w:eastAsia="仿宋"/>
                <w:sz w:val="24"/>
              </w:rPr>
              <w:t>8.发挥课程思政的示范引领作用。</w:t>
            </w:r>
          </w:p>
        </w:tc>
        <w:tc>
          <w:tcPr>
            <w:tcW w:w="72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sz w:val="24"/>
              </w:rPr>
            </w:pPr>
            <w:r>
              <w:rPr>
                <w:rFonts w:hint="eastAsia" w:ascii="仿宋" w:hAnsi="仿宋" w:eastAsia="仿宋"/>
                <w:sz w:val="24"/>
              </w:rPr>
              <w:t>60</w:t>
            </w:r>
          </w:p>
        </w:tc>
        <w:tc>
          <w:tcPr>
            <w:tcW w:w="819" w:type="dxa"/>
            <w:tcBorders>
              <w:top w:val="single" w:color="auto" w:sz="4" w:space="0"/>
              <w:left w:val="nil"/>
              <w:bottom w:val="single" w:color="auto" w:sz="4" w:space="0"/>
              <w:right w:val="single" w:color="auto" w:sz="4" w:space="0"/>
            </w:tcBorders>
          </w:tcPr>
          <w:p>
            <w:pPr>
              <w:spacing w:line="3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总分</w:t>
            </w:r>
          </w:p>
        </w:tc>
        <w:tc>
          <w:tcPr>
            <w:tcW w:w="6735" w:type="dxa"/>
            <w:tcBorders>
              <w:top w:val="single" w:color="auto" w:sz="4" w:space="0"/>
              <w:left w:val="nil"/>
              <w:bottom w:val="single" w:color="auto" w:sz="4" w:space="0"/>
              <w:right w:val="single" w:color="auto" w:sz="4" w:space="0"/>
            </w:tcBorders>
          </w:tcPr>
          <w:p>
            <w:pPr>
              <w:rPr>
                <w:rFonts w:ascii="仿宋" w:hAnsi="仿宋" w:eastAsia="仿宋"/>
                <w:sz w:val="24"/>
              </w:rPr>
            </w:pPr>
          </w:p>
        </w:tc>
        <w:tc>
          <w:tcPr>
            <w:tcW w:w="722"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100</w:t>
            </w:r>
          </w:p>
        </w:tc>
        <w:tc>
          <w:tcPr>
            <w:tcW w:w="819" w:type="dxa"/>
            <w:tcBorders>
              <w:top w:val="single" w:color="auto" w:sz="4" w:space="0"/>
              <w:left w:val="nil"/>
              <w:bottom w:val="single" w:color="auto" w:sz="4" w:space="0"/>
              <w:right w:val="single" w:color="auto" w:sz="4" w:space="0"/>
            </w:tcBorders>
          </w:tcPr>
          <w:p>
            <w:pPr>
              <w:ind w:firstLine="480"/>
              <w:jc w:val="center"/>
              <w:rPr>
                <w:rFonts w:ascii="仿宋" w:hAnsi="仿宋" w:eastAsia="仿宋"/>
                <w:sz w:val="24"/>
              </w:rPr>
            </w:pPr>
          </w:p>
        </w:tc>
      </w:tr>
    </w:tbl>
    <w:p>
      <w:pPr>
        <w:spacing w:line="540" w:lineRule="exact"/>
        <w:ind w:firstLine="560" w:firstLineChars="200"/>
        <w:rPr>
          <w:rFonts w:hint="eastAsia" w:ascii="黑体" w:hAnsi="黑体" w:eastAsia="黑体" w:cs="黑体"/>
          <w:color w:val="000000"/>
          <w:sz w:val="28"/>
          <w:szCs w:val="28"/>
        </w:rPr>
      </w:pPr>
    </w:p>
    <w:p>
      <w:pPr>
        <w:adjustRightInd w:val="0"/>
        <w:snapToGrid w:val="0"/>
        <w:spacing w:line="54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2C0F6-2831-44FC-AF7A-708C1CD68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A940DC-8E57-4428-AB79-FD7D6F07D467}"/>
  </w:font>
  <w:font w:name="仿宋_GB2312">
    <w:panose1 w:val="02010609030101010101"/>
    <w:charset w:val="86"/>
    <w:family w:val="modern"/>
    <w:pitch w:val="default"/>
    <w:sig w:usb0="00000000" w:usb1="00000000" w:usb2="00000000" w:usb3="00000000" w:csb0="00000000" w:csb1="00000000"/>
    <w:embedRegular r:id="rId3" w:fontKey="{C86C385C-B972-43B1-8AB3-1932C7B8EF2A}"/>
  </w:font>
  <w:font w:name="方正小标宋_GBK">
    <w:panose1 w:val="02000000000000000000"/>
    <w:charset w:val="86"/>
    <w:family w:val="script"/>
    <w:pitch w:val="default"/>
    <w:sig w:usb0="00000000" w:usb1="00000000" w:usb2="00000000" w:usb3="00000000" w:csb0="00000000" w:csb1="00000000"/>
    <w:embedRegular r:id="rId4" w:fontKey="{07FE405C-96C9-4A94-977A-1589BC12EC4E}"/>
  </w:font>
  <w:font w:name="仿宋">
    <w:panose1 w:val="02010609060101010101"/>
    <w:charset w:val="86"/>
    <w:family w:val="modern"/>
    <w:pitch w:val="default"/>
    <w:sig w:usb0="800002BF" w:usb1="38CF7CFA" w:usb2="00000016" w:usb3="00000000" w:csb0="00040001" w:csb1="00000000"/>
    <w:embedRegular r:id="rId5" w:fontKey="{120502F1-1934-4F0F-B0F4-EFBDDEA2ED5A}"/>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CF05B"/>
    <w:multiLevelType w:val="singleLevel"/>
    <w:tmpl w:val="294CF0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hNzFlZmI5NTBhMzc0YWEyYzYzZWIxMDMxYjQ5ZDMifQ=="/>
  </w:docVars>
  <w:rsids>
    <w:rsidRoot w:val="59C27EC2"/>
    <w:rsid w:val="00A94EF1"/>
    <w:rsid w:val="00B70581"/>
    <w:rsid w:val="00DF63A1"/>
    <w:rsid w:val="018703CE"/>
    <w:rsid w:val="08814431"/>
    <w:rsid w:val="0B90013D"/>
    <w:rsid w:val="0E3E4FDA"/>
    <w:rsid w:val="0F5337A0"/>
    <w:rsid w:val="10F84AB0"/>
    <w:rsid w:val="13343628"/>
    <w:rsid w:val="1E965458"/>
    <w:rsid w:val="1F3802BD"/>
    <w:rsid w:val="220A5F40"/>
    <w:rsid w:val="274802F4"/>
    <w:rsid w:val="297445E7"/>
    <w:rsid w:val="2A2D4EC2"/>
    <w:rsid w:val="2B6C37C8"/>
    <w:rsid w:val="2BAC3F79"/>
    <w:rsid w:val="2DFF6B75"/>
    <w:rsid w:val="32D16607"/>
    <w:rsid w:val="34645984"/>
    <w:rsid w:val="35862B34"/>
    <w:rsid w:val="37A22D0A"/>
    <w:rsid w:val="4162324B"/>
    <w:rsid w:val="487970CD"/>
    <w:rsid w:val="50DB6B76"/>
    <w:rsid w:val="525A2C37"/>
    <w:rsid w:val="575B5F2E"/>
    <w:rsid w:val="59C27EC2"/>
    <w:rsid w:val="5BA45B1A"/>
    <w:rsid w:val="71C254BD"/>
    <w:rsid w:val="729C74BA"/>
    <w:rsid w:val="75905C4C"/>
    <w:rsid w:val="7599020F"/>
    <w:rsid w:val="79A436FA"/>
    <w:rsid w:val="7E67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pPr>
    <w:rPr>
      <w:rFonts w:ascii="宋体" w:hAnsi="宋体" w:cs="宋体"/>
      <w:sz w:val="24"/>
      <w:szCs w:val="24"/>
    </w:rPr>
  </w:style>
  <w:style w:type="character" w:styleId="7">
    <w:name w:val="Strong"/>
    <w:basedOn w:val="6"/>
    <w:qFormat/>
    <w:uiPriority w:val="0"/>
    <w:rPr>
      <w:b/>
    </w:rPr>
  </w:style>
  <w:style w:type="paragraph" w:customStyle="1" w:styleId="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6"/>
    <w:link w:val="3"/>
    <w:qFormat/>
    <w:uiPriority w:val="0"/>
    <w:rPr>
      <w:rFonts w:ascii="Times New Roman" w:hAnsi="Times New Roman" w:eastAsia="宋体" w:cs="Times New Roman"/>
      <w:kern w:val="2"/>
      <w:sz w:val="18"/>
      <w:szCs w:val="18"/>
    </w:rPr>
  </w:style>
  <w:style w:type="character" w:customStyle="1" w:styleId="10">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613</Words>
  <Characters>3496</Characters>
  <Lines>29</Lines>
  <Paragraphs>8</Paragraphs>
  <TotalTime>5</TotalTime>
  <ScaleCrop>false</ScaleCrop>
  <LinksUpToDate>false</LinksUpToDate>
  <CharactersWithSpaces>4101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2023-09-15T08:30:00Z</dcterms:created>
  <dc:creator>Administrator</dc:creator>
  <cp:lastModifiedBy>admin</cp:lastModifiedBy>
  <dcterms:modified xsi:type="dcterms:W3CDTF">2023-10-08T06:54:04Z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7A375DE775294F7991F95E1D50EFAB72</vt:lpwstr>
  </property>
</Properties>
</file>