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3FD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335" w:line="560" w:lineRule="exact"/>
        <w:ind w:left="1104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highlight w:val="none"/>
        </w:rPr>
        <w:t>湖州师范大学研究生导师管理办法</w:t>
      </w:r>
    </w:p>
    <w:p w14:paraId="3327868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  <w:highlight w:val="none"/>
        </w:rPr>
      </w:pPr>
    </w:p>
    <w:p w14:paraId="10AB3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第一章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总则</w:t>
      </w:r>
    </w:p>
    <w:p w14:paraId="330A3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为全面贯彻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党的教育方针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，落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实研究生导师立德树人职责，努力建设一支师德高尚、学养深厚、术业精进、治学严谨、指导有方的高素质研究生导师队伍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中华人民共和国学位法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》、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教育部《关于全面落实研究生导师立德树人职责的意见》（教研〔2018〕1号）、教育部印发的《研究生导师指导行为准则》（教研〔2020〕12号）等文件精神，结合学校研究生教育发展实际，制定本办法。</w:t>
      </w:r>
    </w:p>
    <w:p w14:paraId="3296CC9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第二章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导师基本要求</w:t>
      </w:r>
    </w:p>
    <w:p w14:paraId="31913A9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导师必须坚持正确的政治方向，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拥护中国共产党领导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，严格执行国家法律法规和教育方针政策，具有高度的政治责任感。</w:t>
      </w:r>
    </w:p>
    <w:p w14:paraId="1C03F8C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要模范遵守教师职业道德，恪守学术规范、爱岗敬业、履职尽责，确保投入足够的时间和精力指导研究生，坚持全过程育人、全方位育人，做研究生成长成才的指导者和引路人，将立德树人根本任务落实到人才培养具体实践中。</w:t>
      </w:r>
    </w:p>
    <w:p w14:paraId="39B6889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第四条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导师要具有深厚的学术造诣和执着的学术追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，秉承先进教育理念，关注学科前沿，不断提高业务水平和指导能力。</w:t>
      </w:r>
    </w:p>
    <w:p w14:paraId="07D64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第三章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导师职责</w:t>
      </w:r>
    </w:p>
    <w:p w14:paraId="4A3204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导师是研究生培养的第一责任人，立德树人是导师的根本职责。导师应认真了解并执行国家关于学位与研究生教育方面的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和学校规章制度。</w:t>
      </w:r>
    </w:p>
    <w:p w14:paraId="6ABEDC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导师应着力提升研究生思想政治素质，引导研究生树立正确的世界观、人生观和价值观，增强研究生社会责任感和家国情怀，培养研究生健全的人格品质。</w:t>
      </w:r>
    </w:p>
    <w:p w14:paraId="6A47B6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lef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要指导研究生恪守学术道德规范，引导研究生自觉遵守科研诚信与学术道德，增强知识产权保护意识，杜绝抄袭剽窃、试验造假、篡改数据、论文买卖、代写论文等一切学术不端行为。对研究生的创新性成果和学位论文（或实践成果）承担审核责任，根据实际贡献实事求是地进行成果署名。</w:t>
      </w:r>
    </w:p>
    <w:p w14:paraId="1ED95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第八条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导师要秉持因材施教、个性化培养的理念，根据学科专业的培养方案和相关管理规定，与研究生共同制定培养计划。导师应对研究生个人培养计划整体把关，并督促研究生按时、保质保量完成。</w:t>
      </w:r>
    </w:p>
    <w:p w14:paraId="2D3132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导师应指导研究生根据国家需要和实际条件确定研究课题、制定工作计划，对开题、中期检查、预答辩等环节进行审查，对研究生的学位论文（或实践成果）及相关创新性成果进行指导和审核把关。</w:t>
      </w:r>
    </w:p>
    <w:p w14:paraId="446FE3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导师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应定期与研究生沟通交流，建立良好的师生互动机制。导师因公或因私出差、出国应遵守学校的有关规定，必须认真安排落实其离校期间对研究生的指导工作，确保培养过程和培养质量不受影响。</w:t>
      </w:r>
    </w:p>
    <w:p w14:paraId="17DA018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第十一条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导师要强化学术指导，引导研究生追踪学科前沿，开拓学术视野，聚焦研究问题，激发创新能力。应提供必要的科研条件和经费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支持研究生参与科学研究，鼓励、支持研究生参加学术交流、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实践和创新创业活动。</w:t>
      </w:r>
    </w:p>
    <w:p w14:paraId="180B403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对外出进行学术交流、社会调查、课题（实验）研究、专业实践等活动的研究生，导师必须事先对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进行安全教育与法规法纪教育，督促学生办理相关手续。</w:t>
      </w:r>
    </w:p>
    <w:p w14:paraId="6DDC736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导师应按照学校《研究生学籍管理实施细则》，慎重审核研究生请假、出国、休学、退学、提前毕业或延期毕业等申请。</w:t>
      </w:r>
    </w:p>
    <w:p w14:paraId="4D604AF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导师应关注研究生身心健康，努力帮助研究生解决实际困难，引导研究生树立正确的职业就业观，指导研究生制定切实可行的职业发展规划，并提供力所能及的就业创业帮助。</w:t>
      </w:r>
    </w:p>
    <w:p w14:paraId="10D97BC7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承担课程教学任务，扎实开展课程、案例、教材以及基地等资源建设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积极探索人才培养模式改革和开展研究生教育教学研究，及时将本学科专业的最新研究成果融入教学内容中。</w:t>
      </w:r>
    </w:p>
    <w:p w14:paraId="0679CC7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第四章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导师权利</w:t>
      </w:r>
    </w:p>
    <w:p w14:paraId="3177179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导师具有招生参与权。在符合学校和学院研究生招生录取办法的前提下，导师可参与研究生招生宣传与选拔考核工作。</w:t>
      </w:r>
    </w:p>
    <w:p w14:paraId="6B5C287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导师具有学业指导主导权。导师具有参与所在学位点培养方案制定和修订的权利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在符合学校规定的前提下，对所指导研究生的个人培养计划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制订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、开题论证、中期检查及申请学位的预答辩、答辩等培养环节，导师具有主导权。</w:t>
      </w:r>
    </w:p>
    <w:p w14:paraId="5AE4B4B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导师具有学籍处理建议权。对所指导的研究生因各种原因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学业与培养等问题且调解无效的，导师有权根据学校《研究生学籍管理实施细则》等文件规定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提出更换导师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休学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或退学等建议。</w:t>
      </w:r>
    </w:p>
    <w:p w14:paraId="79944E1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导师具有评奖评优等推荐权。对指导的研究生在奖助学金评定、“三助”岗位申请、课题申报、学术交流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学科竞赛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方面，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导师具有推荐权。</w:t>
      </w:r>
    </w:p>
    <w:p w14:paraId="21C67BF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导师具有管理政策建议权。对学校和学院研究生培养过程中遇到的问题、研究生教育中的相关规章制度，导师可以提出意见和建议。</w:t>
      </w:r>
    </w:p>
    <w:p w14:paraId="5FDEDE9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导师培训</w:t>
      </w:r>
    </w:p>
    <w:p w14:paraId="68900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培训内容。包括政治理论、国情教育、法治教育、导师职责、师德师风、课程思政、研究生教育政策、教学管理制度、指导方法、科研诚信、学术伦理、学术规范、心理学知识等。</w:t>
      </w:r>
    </w:p>
    <w:p w14:paraId="57EBF57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培训机制。建立校院两级的常态化导师培训机制，校级培训依托胡瑗导师书院开展，院级培训依托各导师书院分院开展。校级岗前培训原则上每年举办一次，由研究生院主办，各学院依次承办，校级其他培训根据实际情况需要开展。院级培训由学院自行组织，每学期至少开展一次。</w:t>
      </w:r>
    </w:p>
    <w:p w14:paraId="540C3082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第二十三条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培训形式。邀请校内外知名专家、优秀导师、行业精英、政府职能部门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以专家报告、经验分享、学习研讨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视频教学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等多种形式开展。</w:t>
      </w:r>
    </w:p>
    <w:p w14:paraId="0BFBAFD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培训学分。导师培训采取学分制，计分规则按照《胡瑗导师书院管理办法》执行。新聘导师必须接受校级岗前培训，在岗研究生导师每年至少获得3个学分。未在规定时间内参加研究生导师培训并获得相应学分的，不得参加下一年度招生。</w:t>
      </w:r>
    </w:p>
    <w:p w14:paraId="0C19C00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第六章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年度考核与招生资格</w:t>
      </w:r>
    </w:p>
    <w:p w14:paraId="34D50FF6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年度考核。学校实行导师年度考核制度，考核内容包括思想政治素质与师德师风、科学研究、人才培养、导师培训等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考核不通过或无故不参加考核的，不得参加下一年度招生。</w:t>
      </w:r>
    </w:p>
    <w:p w14:paraId="20435CDA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年度招生资格审核。学校实行导师招生资格年度审核制度。审核工作由各学院自行开展，研究生院复核，复核通过的方可获得当年度的招生资格。各学院可根据实际情况，在满足下列基本要求基础上制定审核条件。基本要求：</w:t>
      </w:r>
    </w:p>
    <w:p w14:paraId="2EBD69EB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年度考核通过。未参加年度考核的新聘导师须通过校级岗前培训。</w:t>
      </w:r>
    </w:p>
    <w:p w14:paraId="1D4CDA0A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（二）有充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足的在账科研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经费。在理工农医类招生专业型硕士的不少于10万元、学术型硕士的不少于5万元；在人文社科类招生专业型硕士的不少于4万元、学术型硕士的不少于2万元。</w:t>
      </w:r>
    </w:p>
    <w:p w14:paraId="41FB7879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（三）指导的在学研究生总数原则上不超过12名。</w:t>
      </w:r>
    </w:p>
    <w:p w14:paraId="44DC337A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导师须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在人事处规定的退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休年龄前，原则上能够完整指导一届研究生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培养。</w:t>
      </w:r>
    </w:p>
    <w:p w14:paraId="39A788E6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（五）招生学位点数原则上不超过3个。</w:t>
      </w:r>
    </w:p>
    <w:p w14:paraId="267DB73F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（六）校外兼职导师招生学位点数不超过1个，且必须有校内合作导师，在我校有双方共同作为经费审批人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在研课题，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课题上一年度累计到账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经费应不低于当年度学校《研究生招生指标分配办法》中单个绩效指标的平均科研经费。</w:t>
      </w:r>
    </w:p>
    <w:p w14:paraId="462B588D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第二十七条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年度招生指标。学校实行年度招生指标分配制度，各学院应根据实际情况，在满足下列基本要求基础上制定年度招生指标分配办法，研究生院复核各学院的分配方法和各导师的年度招生指标数。基本要求：</w:t>
      </w:r>
    </w:p>
    <w:p w14:paraId="16D87CFD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（一）具有相应学位点的招生资格。</w:t>
      </w:r>
    </w:p>
    <w:p w14:paraId="7226D11C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（二）年度招生指标数（指在全校所有学位点上的指标数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原则上不超过3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，首次招生的原则上不超过1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。</w:t>
      </w:r>
    </w:p>
    <w:p w14:paraId="41BD161D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（三）校外兼职导师年度招生指标数不超过1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。</w:t>
      </w:r>
    </w:p>
    <w:p w14:paraId="70446DA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第七章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纪律与奖惩</w:t>
      </w:r>
    </w:p>
    <w:p w14:paraId="4D55328C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第二十八条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导师严禁触碰教育部划定的“高校教师违反师德行为”，严格遵守《研究生导师指导行为准则》中的“十不得”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。</w:t>
      </w:r>
    </w:p>
    <w:p w14:paraId="70A61A7F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（一）不得有违背党的理论和路线方针政策、违反国家法律法规、损害党和国家形象、背离社会主义核心价值观的言行。</w:t>
      </w:r>
    </w:p>
    <w:p w14:paraId="0168EE79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（二）不得组织或参与任何有可能损害考试招生公平公正的活动。</w:t>
      </w:r>
    </w:p>
    <w:p w14:paraId="6B22C8DF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（三）不得对研究生的学业进程及面临的学业问题疏于监督和指导。</w:t>
      </w:r>
    </w:p>
    <w:p w14:paraId="70AD8974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（四）不得要求研究生从事与学业、科研、社会服务无关的事务。</w:t>
      </w:r>
    </w:p>
    <w:p w14:paraId="7D0058F1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（五）不得违规随意拖延研究生毕业时间。</w:t>
      </w:r>
    </w:p>
    <w:p w14:paraId="6A6F48DA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（六）不得有违反学术规范、损害研究生学术科研权益等行为。</w:t>
      </w:r>
    </w:p>
    <w:p w14:paraId="3ADAE7AC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（七）不得将不符合学术规范和质量要求的学位论文提交评审和答辩。</w:t>
      </w:r>
    </w:p>
    <w:p w14:paraId="1CD526DC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（八）不得以研究生名义虚报、冒领、挪用、侵占科研经费或其他费用。</w:t>
      </w:r>
    </w:p>
    <w:p w14:paraId="5256D1A5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（九）不得侮辱研究生人格。</w:t>
      </w:r>
    </w:p>
    <w:p w14:paraId="172793E7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（十）不得与研究生发生不正当关系。</w:t>
      </w:r>
    </w:p>
    <w:p w14:paraId="3F2458F8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第二十九条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导师存在下列情况的，视情节轻重，分别给予诫勉谈话、限制招生、暂停招生、取消导师资格等处理，以上处理执行期不得少于24个月。</w:t>
      </w:r>
    </w:p>
    <w:p w14:paraId="5A180512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（一）违反国家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法律法规和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校规、校纪。</w:t>
      </w:r>
    </w:p>
    <w:p w14:paraId="14687DC3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（二）违反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《研究生导师指导行为准则》及其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中的“十不得”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。</w:t>
      </w:r>
    </w:p>
    <w:p w14:paraId="61FC3398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（三）指导的学位论文（或实践成果）被国务院学位办、浙江省学位办抽检认定为不合格者。</w:t>
      </w:r>
    </w:p>
    <w:p w14:paraId="16B0C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第三十条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凡认真履行导师职责，在研究生培养上取得显著成效的导师，在优秀导师、导师团队等评优评先方面可优先推荐，并予以表彰。</w:t>
      </w:r>
    </w:p>
    <w:p w14:paraId="75420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第八章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附则</w:t>
      </w:r>
    </w:p>
    <w:p w14:paraId="3F0FF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校内合作导师承担校外兼职导师所招研究生的联合培养职责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和助研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经费。校外兼职导师解聘后，由校内合作导师承担校外兼职导师所招研究生的导师职责。</w:t>
      </w:r>
    </w:p>
    <w:p w14:paraId="2F80F2A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根据学校发展战略和学科整体布局，加快高层次人才引进，开通高层次人才导师资格、招生资格审核绿色通道，具体由学校人才工作办公室进行审核。在人才到岗后，由人才工作办公室将其导师资格和招生资格报研究生院备案。</w:t>
      </w:r>
    </w:p>
    <w:p w14:paraId="65C57BD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第三十三条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导师在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人事处规定的退休年龄前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三年，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原则上停止招生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确因学科发展需要，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学院学位评定分委员会和党政联席会审议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学校批准，可适当延长。导师退休后，学院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/>
        </w:rPr>
        <w:t>根据相关规定对该导师指导的研究生做好妥善安排。</w:t>
      </w:r>
    </w:p>
    <w:p w14:paraId="43E224E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</w:rPr>
        <w:t>第三十四条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本办法自颁布之日起施行，原《硕士研究生指导教师遴选与管理办法（试行）》（湖师院发〔2018〕46号）同时废止。本办法由校行政负责解释，研究生院具体承办。</w:t>
      </w:r>
    </w:p>
    <w:p w14:paraId="6B352D6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</w:p>
    <w:p w14:paraId="049DF6E2"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 w:val="0"/>
        <w:snapToGrid w:val="0"/>
        <w:jc w:val="both"/>
        <w:textAlignment w:val="baseline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7C106B-F403-4832-AC7A-3089FB7B77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7A58EF-09AF-48C0-A507-464DE88DE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2F2C4F6-895F-403C-B586-8E0B8AC710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30F5E1-B5AF-4339-9E40-D6093BA03A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FAE1C6C-E776-4708-B854-99DF6F72210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2692004-EE7E-41FD-B42E-240E39C3FB5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C367F"/>
    <w:multiLevelType w:val="singleLevel"/>
    <w:tmpl w:val="26DC367F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10EA"/>
    <w:rsid w:val="0325571E"/>
    <w:rsid w:val="062B2D2F"/>
    <w:rsid w:val="0FCD40C1"/>
    <w:rsid w:val="14A01627"/>
    <w:rsid w:val="21532C9C"/>
    <w:rsid w:val="25035C0B"/>
    <w:rsid w:val="29C941B3"/>
    <w:rsid w:val="3F9010EA"/>
    <w:rsid w:val="4A4C2CEB"/>
    <w:rsid w:val="5DFB31DB"/>
    <w:rsid w:val="60604DC0"/>
    <w:rsid w:val="69D001C0"/>
    <w:rsid w:val="75F70817"/>
    <w:rsid w:val="76191423"/>
    <w:rsid w:val="77FD6557"/>
    <w:rsid w:val="79AF15E5"/>
    <w:rsid w:val="7B1211B1"/>
    <w:rsid w:val="BDED02DC"/>
    <w:rsid w:val="F7CF55CF"/>
    <w:rsid w:val="F7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3753</Words>
  <Characters>3767</Characters>
  <Lines>0</Lines>
  <Paragraphs>0</Paragraphs>
  <TotalTime>23</TotalTime>
  <ScaleCrop>false</ScaleCrop>
  <LinksUpToDate>false</LinksUpToDate>
  <CharactersWithSpaces>3808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2026-04-25T17:10:00Z</dcterms:created>
  <dc:creator>陆毓佳Louise.</dc:creator>
  <cp:lastModifiedBy>陆毓佳Louise.</cp:lastModifiedBy>
  <cp:lastPrinted>2026-04-28T00:13:00Z</cp:lastPrinted>
  <dcterms:modified xsi:type="dcterms:W3CDTF">2026-04-29T06:43:54Z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385ACC5C36BE4932B02C22CCA0D7C4A2_11</vt:lpwstr>
  </property>
  <property fmtid="{D5CDD505-2E9C-101B-9397-08002B2CF9AE}" pid="4" name="KSOTemplateDocerSaveRecord">
    <vt:lpwstr>eyJoZGlkIjoiOTYwZmM5YjM1ZDc1NTdiY2EwNGVjMmMxZTkwYTNjNmMiLCJ1c2VySWQiOiIyNjQzODg0MDgifQ==</vt:lpwstr>
  </property>
</Properties>
</file>