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406EBD">
      <w:pPr>
        <w:kinsoku/>
        <w:overflowPunct w:val="0"/>
        <w:topLinePunct/>
        <w:spacing w:before="335" w:line="560" w:lineRule="exact"/>
        <w:ind w:left="220"/>
        <w:jc w:val="center"/>
        <w:outlineLvl w:val="0"/>
        <w:rPr>
          <w:rFonts w:ascii="Times New Roman" w:hAnsi="Times New Roman" w:cs="Times New Roman"/>
          <w:b w:val="0"/>
          <w:bCs w:val="0"/>
          <w:sz w:val="44"/>
          <w:szCs w:val="44"/>
        </w:rPr>
      </w:pPr>
      <w:r>
        <w:rPr>
          <w:rFonts w:hint="eastAsia" w:ascii="方正小标宋简体" w:hAnsi="方正小标宋简体" w:eastAsia="方正小标宋简体" w:cs="方正小标宋简体"/>
          <w:b w:val="0"/>
          <w:bCs w:val="0"/>
          <w:spacing w:val="6"/>
          <w:sz w:val="44"/>
          <w:szCs w:val="44"/>
        </w:rPr>
        <w:t>湖州师范大学研究生导师选聘工作实施细则</w:t>
      </w:r>
    </w:p>
    <w:p w14:paraId="7F0C27BB">
      <w:pPr>
        <w:kinsoku/>
        <w:overflowPunct w:val="0"/>
        <w:topLinePunct/>
        <w:spacing w:line="560" w:lineRule="exact"/>
        <w:jc w:val="center"/>
        <w:rPr>
          <w:rFonts w:ascii="Times New Roman" w:hAnsi="Times New Roman" w:cs="Times New Roman"/>
          <w:sz w:val="21"/>
        </w:rPr>
      </w:pPr>
    </w:p>
    <w:p w14:paraId="57184FDF">
      <w:pPr>
        <w:kinsoku/>
        <w:overflowPunct w:val="0"/>
        <w:topLinePunct/>
        <w:autoSpaceDE/>
        <w:autoSpaceDN/>
        <w:spacing w:before="0" w:line="560" w:lineRule="exact"/>
        <w:ind w:left="0" w:firstLine="640" w:firstLineChars="200"/>
        <w:jc w:val="both"/>
        <w:rPr>
          <w:rFonts w:hint="default" w:ascii="Times New Roman" w:hAnsi="Times New Roman" w:eastAsia="仿宋" w:cs="Times New Roman"/>
          <w:sz w:val="32"/>
          <w:szCs w:val="32"/>
        </w:rPr>
      </w:pPr>
      <w:bookmarkStart w:id="0" w:name="_GoBack"/>
      <w:r>
        <w:rPr>
          <w:rFonts w:hint="default" w:ascii="Times New Roman" w:hAnsi="Times New Roman" w:eastAsia="仿宋_GB2312" w:cs="Times New Roman"/>
          <w:spacing w:val="0"/>
          <w:sz w:val="32"/>
          <w:szCs w:val="32"/>
          <w:highlight w:val="none"/>
        </w:rPr>
        <w:t>为全面贯彻</w:t>
      </w:r>
      <w:r>
        <w:rPr>
          <w:rFonts w:hint="eastAsia" w:ascii="Times New Roman" w:hAnsi="Times New Roman" w:eastAsia="仿宋_GB2312" w:cs="Times New Roman"/>
          <w:spacing w:val="0"/>
          <w:sz w:val="32"/>
          <w:szCs w:val="32"/>
          <w:highlight w:val="none"/>
          <w:lang w:val="en-US" w:eastAsia="zh-CN"/>
        </w:rPr>
        <w:t>党的教育方针</w:t>
      </w:r>
      <w:bookmarkEnd w:id="0"/>
      <w:r>
        <w:rPr>
          <w:rFonts w:hint="default" w:ascii="Times New Roman" w:hAnsi="Times New Roman" w:eastAsia="仿宋_GB2312" w:cs="Times New Roman"/>
          <w:spacing w:val="0"/>
          <w:sz w:val="32"/>
          <w:szCs w:val="32"/>
        </w:rPr>
        <w:t>，落实研究生导师立德树人职责，根据</w:t>
      </w:r>
      <w:r>
        <w:rPr>
          <w:rFonts w:hint="eastAsia" w:ascii="Times New Roman" w:hAnsi="Times New Roman" w:eastAsia="仿宋_GB2312" w:cs="Times New Roman"/>
          <w:spacing w:val="0"/>
          <w:sz w:val="32"/>
          <w:szCs w:val="32"/>
          <w:lang w:eastAsia="zh-CN"/>
        </w:rPr>
        <w:t>《</w:t>
      </w:r>
      <w:r>
        <w:rPr>
          <w:rFonts w:hint="eastAsia" w:ascii="Times New Roman" w:hAnsi="Times New Roman" w:eastAsia="仿宋_GB2312" w:cs="Times New Roman"/>
          <w:spacing w:val="0"/>
          <w:sz w:val="32"/>
          <w:szCs w:val="32"/>
          <w:lang w:val="en-US" w:eastAsia="zh-CN"/>
        </w:rPr>
        <w:t>中华人民共和国学位法</w:t>
      </w:r>
      <w:r>
        <w:rPr>
          <w:rFonts w:hint="eastAsia" w:ascii="Times New Roman" w:hAnsi="Times New Roman" w:eastAsia="仿宋_GB2312" w:cs="Times New Roman"/>
          <w:spacing w:val="0"/>
          <w:sz w:val="32"/>
          <w:szCs w:val="32"/>
          <w:lang w:eastAsia="zh-CN"/>
        </w:rPr>
        <w:t>》、</w:t>
      </w:r>
      <w:r>
        <w:rPr>
          <w:rFonts w:hint="default" w:ascii="Times New Roman" w:hAnsi="Times New Roman" w:eastAsia="仿宋_GB2312" w:cs="Times New Roman"/>
          <w:spacing w:val="0"/>
          <w:sz w:val="32"/>
          <w:szCs w:val="32"/>
        </w:rPr>
        <w:t>教育部《关于全面落实研究生导师立德树人职责的意见》（教研〔2018〕1号）、《关于深入推进学术学位与专业学位研究生教育分类发展的意见》（教研〔2023〕2号）等文件精神，努力打造一支高素质的硕士研究生导师队伍，结合学校实际，制定本细则。</w:t>
      </w:r>
    </w:p>
    <w:p w14:paraId="5A74FADE">
      <w:pPr>
        <w:kinsoku/>
        <w:overflowPunct w:val="0"/>
        <w:topLinePunct/>
        <w:autoSpaceDE/>
        <w:autoSpaceDN/>
        <w:spacing w:line="560" w:lineRule="exact"/>
        <w:ind w:left="0" w:firstLine="640" w:firstLineChars="200"/>
        <w:outlineLvl w:val="9"/>
        <w:rPr>
          <w:rFonts w:hint="default" w:ascii="Times New Roman" w:hAnsi="Times New Roman" w:eastAsia="黑体" w:cs="Times New Roman"/>
          <w:sz w:val="32"/>
          <w:szCs w:val="32"/>
        </w:rPr>
      </w:pPr>
      <w:r>
        <w:rPr>
          <w:rFonts w:hint="default" w:ascii="Times New Roman" w:hAnsi="Times New Roman" w:eastAsia="黑体" w:cs="Times New Roman"/>
          <w:b w:val="0"/>
          <w:bCs w:val="0"/>
          <w:spacing w:val="0"/>
          <w:sz w:val="32"/>
          <w:szCs w:val="32"/>
        </w:rPr>
        <w:t>一、导师岗位的学科专业范围及类型</w:t>
      </w:r>
    </w:p>
    <w:p w14:paraId="57D49800">
      <w:pPr>
        <w:kinsoku/>
        <w:overflowPunct w:val="0"/>
        <w:topLinePunct/>
        <w:autoSpaceDE/>
        <w:autoSpaceDN/>
        <w:spacing w:before="0" w:line="56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pacing w:val="0"/>
          <w:sz w:val="32"/>
          <w:szCs w:val="32"/>
        </w:rPr>
        <w:t>导师岗位选聘</w:t>
      </w:r>
      <w:r>
        <w:rPr>
          <w:rFonts w:hint="default" w:ascii="Times New Roman" w:hAnsi="Times New Roman" w:eastAsia="仿宋_GB2312" w:cs="Times New Roman"/>
          <w:spacing w:val="0"/>
          <w:sz w:val="32"/>
          <w:szCs w:val="32"/>
          <w:lang w:eastAsia="zh-CN"/>
        </w:rPr>
        <w:t>仅限于</w:t>
      </w:r>
      <w:r>
        <w:rPr>
          <w:rFonts w:hint="default" w:ascii="Times New Roman" w:hAnsi="Times New Roman" w:eastAsia="仿宋_GB2312" w:cs="Times New Roman"/>
          <w:spacing w:val="0"/>
          <w:sz w:val="32"/>
          <w:szCs w:val="32"/>
        </w:rPr>
        <w:t>我校经国务院学位委员会批准的具有硕士学位授予权的学科专业（包括批准招生的一级学科、二级学科、专业类别或专业领域</w:t>
      </w:r>
      <w:r>
        <w:rPr>
          <w:rFonts w:hint="default" w:ascii="Times New Roman" w:hAnsi="Times New Roman" w:eastAsia="仿宋_GB2312" w:cs="Times New Roman"/>
          <w:spacing w:val="0"/>
          <w:sz w:val="32"/>
          <w:szCs w:val="32"/>
          <w:lang w:eastAsia="zh-CN"/>
        </w:rPr>
        <w:t>）</w:t>
      </w:r>
      <w:r>
        <w:rPr>
          <w:rFonts w:hint="default" w:ascii="Times New Roman" w:hAnsi="Times New Roman" w:eastAsia="仿宋_GB2312" w:cs="Times New Roman"/>
          <w:spacing w:val="0"/>
          <w:sz w:val="32"/>
          <w:szCs w:val="32"/>
        </w:rPr>
        <w:t>，分为学术型导师、专业型导师和校外实践导师。</w:t>
      </w:r>
    </w:p>
    <w:p w14:paraId="30909E17">
      <w:pPr>
        <w:kinsoku/>
        <w:overflowPunct w:val="0"/>
        <w:topLinePunct/>
        <w:autoSpaceDE/>
        <w:autoSpaceDN/>
        <w:spacing w:line="560" w:lineRule="exact"/>
        <w:ind w:left="0" w:firstLine="640" w:firstLineChars="200"/>
        <w:outlineLvl w:val="9"/>
        <w:rPr>
          <w:rFonts w:hint="default" w:ascii="Times New Roman" w:hAnsi="Times New Roman" w:eastAsia="黑体" w:cs="Times New Roman"/>
          <w:sz w:val="32"/>
          <w:szCs w:val="32"/>
        </w:rPr>
      </w:pPr>
      <w:r>
        <w:rPr>
          <w:rFonts w:hint="default" w:ascii="Times New Roman" w:hAnsi="Times New Roman" w:eastAsia="黑体" w:cs="Times New Roman"/>
          <w:b w:val="0"/>
          <w:bCs w:val="0"/>
          <w:spacing w:val="0"/>
          <w:sz w:val="32"/>
          <w:szCs w:val="32"/>
        </w:rPr>
        <w:t>二、学术型导师岗位的基本条件</w:t>
      </w:r>
    </w:p>
    <w:p w14:paraId="541BE025">
      <w:pPr>
        <w:kinsoku/>
        <w:overflowPunct w:val="0"/>
        <w:topLinePunct/>
        <w:autoSpaceDE/>
        <w:autoSpaceDN/>
        <w:spacing w:before="0" w:line="560" w:lineRule="exact"/>
        <w:ind w:left="0" w:righ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pacing w:val="0"/>
          <w:sz w:val="32"/>
          <w:szCs w:val="32"/>
        </w:rPr>
        <w:t>（一）坚持正确的政治方向，</w:t>
      </w:r>
      <w:r>
        <w:rPr>
          <w:rFonts w:hint="default" w:ascii="Times New Roman" w:hAnsi="Times New Roman" w:eastAsia="仿宋_GB2312" w:cs="Times New Roman"/>
          <w:spacing w:val="0"/>
          <w:sz w:val="32"/>
          <w:szCs w:val="32"/>
          <w:lang w:eastAsia="zh-CN"/>
        </w:rPr>
        <w:t>拥护中国共产党领导</w:t>
      </w:r>
      <w:r>
        <w:rPr>
          <w:rFonts w:hint="default" w:ascii="Times New Roman" w:hAnsi="Times New Roman" w:eastAsia="仿宋_GB2312" w:cs="Times New Roman"/>
          <w:spacing w:val="0"/>
          <w:sz w:val="32"/>
          <w:szCs w:val="32"/>
        </w:rPr>
        <w:t>，严格执行国家法律法规和教育方针政策，具有高度的政治责任感。</w:t>
      </w:r>
    </w:p>
    <w:p w14:paraId="2CEF1B71">
      <w:pPr>
        <w:kinsoku/>
        <w:overflowPunct w:val="0"/>
        <w:topLinePunct/>
        <w:autoSpaceDE/>
        <w:autoSpaceDN/>
        <w:spacing w:before="0" w:line="560" w:lineRule="exact"/>
        <w:ind w:left="0" w:righ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pacing w:val="0"/>
          <w:sz w:val="32"/>
          <w:szCs w:val="32"/>
        </w:rPr>
        <w:t>（二）具有坚实的理论基础和深厚的学术造诣，关注学科前沿，能够履行导师职责。</w:t>
      </w:r>
    </w:p>
    <w:p w14:paraId="009F7401">
      <w:pPr>
        <w:kinsoku/>
        <w:overflowPunct w:val="0"/>
        <w:topLinePunct/>
        <w:autoSpaceDE/>
        <w:autoSpaceDN/>
        <w:spacing w:before="0" w:line="560" w:lineRule="exact"/>
        <w:ind w:left="0" w:right="0" w:firstLine="640" w:firstLineChars="200"/>
        <w:jc w:val="both"/>
        <w:rPr>
          <w:rFonts w:hint="eastAsia" w:ascii="Times New Roman" w:hAnsi="Times New Roman" w:eastAsia="仿宋_GB2312" w:cs="Times New Roman"/>
          <w:spacing w:val="0"/>
          <w:sz w:val="32"/>
          <w:szCs w:val="32"/>
          <w:lang w:eastAsia="zh-CN"/>
        </w:rPr>
      </w:pPr>
      <w:r>
        <w:rPr>
          <w:rFonts w:hint="default" w:ascii="Times New Roman" w:hAnsi="Times New Roman" w:eastAsia="仿宋_GB2312" w:cs="Times New Roman"/>
          <w:spacing w:val="0"/>
          <w:sz w:val="32"/>
          <w:szCs w:val="32"/>
        </w:rPr>
        <w:t>（三）年龄</w:t>
      </w:r>
      <w:r>
        <w:rPr>
          <w:rFonts w:hint="eastAsia" w:ascii="Times New Roman" w:hAnsi="Times New Roman" w:eastAsia="仿宋_GB2312" w:cs="Times New Roman"/>
          <w:spacing w:val="0"/>
          <w:sz w:val="32"/>
          <w:szCs w:val="32"/>
          <w:lang w:val="en-US" w:eastAsia="zh-CN"/>
        </w:rPr>
        <w:t>原则上</w:t>
      </w:r>
      <w:r>
        <w:rPr>
          <w:rFonts w:hint="default" w:ascii="Times New Roman" w:hAnsi="Times New Roman" w:eastAsia="仿宋_GB2312" w:cs="Times New Roman"/>
          <w:spacing w:val="0"/>
          <w:sz w:val="32"/>
          <w:szCs w:val="32"/>
        </w:rPr>
        <w:t>不超过55周岁，具有高级专业技术职务和硕士学位。</w:t>
      </w:r>
    </w:p>
    <w:p w14:paraId="43A1EF28">
      <w:pPr>
        <w:kinsoku/>
        <w:overflowPunct w:val="0"/>
        <w:topLinePunct/>
        <w:autoSpaceDE/>
        <w:autoSpaceDN/>
        <w:spacing w:before="0" w:line="560" w:lineRule="exact"/>
        <w:ind w:left="0" w:firstLine="640" w:firstLineChars="200"/>
        <w:jc w:val="left"/>
        <w:rPr>
          <w:rFonts w:hint="default" w:ascii="Times New Roman" w:hAnsi="Times New Roman" w:eastAsia="仿宋_GB2312" w:cs="Times New Roman"/>
          <w:spacing w:val="0"/>
          <w:sz w:val="32"/>
          <w:szCs w:val="32"/>
        </w:rPr>
      </w:pPr>
      <w:r>
        <w:rPr>
          <w:rFonts w:hint="default" w:ascii="Times New Roman" w:hAnsi="Times New Roman" w:eastAsia="仿宋_GB2312" w:cs="Times New Roman"/>
          <w:spacing w:val="0"/>
          <w:sz w:val="32"/>
          <w:szCs w:val="32"/>
        </w:rPr>
        <w:t>（四）业绩条件。近五年，在科学研究、社会服务等业绩方</w:t>
      </w:r>
    </w:p>
    <w:p w14:paraId="2A415637">
      <w:pPr>
        <w:kinsoku/>
        <w:overflowPunct w:val="0"/>
        <w:topLinePunct/>
        <w:autoSpaceDE/>
        <w:autoSpaceDN/>
        <w:spacing w:before="0" w:line="560" w:lineRule="exact"/>
        <w:ind w:left="0" w:firstLine="0" w:firstLineChars="0"/>
        <w:jc w:val="left"/>
        <w:rPr>
          <w:rFonts w:hint="default" w:ascii="Times New Roman" w:hAnsi="Times New Roman" w:eastAsia="仿宋_GB2312" w:cs="Times New Roman"/>
          <w:sz w:val="32"/>
          <w:szCs w:val="32"/>
        </w:rPr>
      </w:pPr>
      <w:r>
        <w:rPr>
          <w:rFonts w:hint="default" w:ascii="Times New Roman" w:hAnsi="Times New Roman" w:eastAsia="仿宋_GB2312" w:cs="Times New Roman"/>
          <w:spacing w:val="0"/>
          <w:sz w:val="32"/>
          <w:szCs w:val="32"/>
        </w:rPr>
        <w:t>面至少满足下列条件中的两条：</w:t>
      </w:r>
    </w:p>
    <w:p w14:paraId="51A16DF0">
      <w:pPr>
        <w:kinsoku/>
        <w:overflowPunct w:val="0"/>
        <w:topLinePunct/>
        <w:autoSpaceDE/>
        <w:autoSpaceDN/>
        <w:spacing w:before="0" w:line="56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pacing w:val="0"/>
          <w:sz w:val="32"/>
          <w:szCs w:val="32"/>
          <w:lang w:eastAsia="zh-CN"/>
        </w:rPr>
        <w:t>1.</w:t>
      </w:r>
      <w:r>
        <w:rPr>
          <w:rFonts w:hint="default" w:ascii="Times New Roman" w:hAnsi="Times New Roman" w:eastAsia="仿宋_GB2312" w:cs="Times New Roman"/>
          <w:spacing w:val="0"/>
          <w:sz w:val="32"/>
          <w:szCs w:val="32"/>
        </w:rPr>
        <w:t>高水平论文</w:t>
      </w:r>
    </w:p>
    <w:p w14:paraId="6B06B48E">
      <w:pPr>
        <w:kinsoku/>
        <w:overflowPunct w:val="0"/>
        <w:topLinePunct/>
        <w:autoSpaceDE/>
        <w:autoSpaceDN/>
        <w:spacing w:before="0" w:line="56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pacing w:val="0"/>
          <w:sz w:val="32"/>
          <w:szCs w:val="32"/>
        </w:rPr>
        <w:t>①理工农医类：在高水平期刊或会议上发表本学科相关论文4篇。</w:t>
      </w:r>
    </w:p>
    <w:p w14:paraId="0567D750">
      <w:pPr>
        <w:kinsoku/>
        <w:overflowPunct w:val="0"/>
        <w:topLinePunct/>
        <w:autoSpaceDE/>
        <w:autoSpaceDN/>
        <w:spacing w:before="0" w:line="56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pacing w:val="0"/>
          <w:sz w:val="32"/>
          <w:szCs w:val="32"/>
        </w:rPr>
        <w:t>②人文社科类：在高水平期刊或会议上发表本学科相关论文（含艺术作品）3篇。</w:t>
      </w:r>
    </w:p>
    <w:p w14:paraId="3EBC4010">
      <w:pPr>
        <w:kinsoku/>
        <w:overflowPunct w:val="0"/>
        <w:topLinePunct/>
        <w:autoSpaceDE/>
        <w:autoSpaceDN/>
        <w:spacing w:before="0" w:line="56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pacing w:val="0"/>
          <w:sz w:val="32"/>
          <w:szCs w:val="32"/>
          <w:lang w:eastAsia="zh-CN"/>
        </w:rPr>
        <w:t>2.</w:t>
      </w:r>
      <w:r>
        <w:rPr>
          <w:rFonts w:hint="default" w:ascii="Times New Roman" w:hAnsi="Times New Roman" w:eastAsia="仿宋_GB2312" w:cs="Times New Roman"/>
          <w:spacing w:val="0"/>
          <w:sz w:val="32"/>
          <w:szCs w:val="32"/>
        </w:rPr>
        <w:t>专著、专利</w:t>
      </w:r>
    </w:p>
    <w:p w14:paraId="28516B6E">
      <w:pPr>
        <w:kinsoku/>
        <w:overflowPunct w:val="0"/>
        <w:topLinePunct/>
        <w:autoSpaceDE/>
        <w:autoSpaceDN/>
        <w:spacing w:before="0" w:line="56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pacing w:val="0"/>
          <w:sz w:val="32"/>
          <w:szCs w:val="32"/>
        </w:rPr>
        <w:t>在一级出版社出版专著1部，或授权发明专利1件。</w:t>
      </w:r>
    </w:p>
    <w:p w14:paraId="00FDD848">
      <w:pPr>
        <w:kinsoku/>
        <w:overflowPunct w:val="0"/>
        <w:topLinePunct/>
        <w:autoSpaceDE/>
        <w:autoSpaceDN/>
        <w:spacing w:before="0" w:line="56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pacing w:val="0"/>
          <w:sz w:val="32"/>
          <w:szCs w:val="32"/>
          <w:lang w:eastAsia="zh-CN"/>
        </w:rPr>
        <w:t>3.</w:t>
      </w:r>
      <w:r>
        <w:rPr>
          <w:rFonts w:hint="default" w:ascii="Times New Roman" w:hAnsi="Times New Roman" w:eastAsia="仿宋_GB2312" w:cs="Times New Roman"/>
          <w:spacing w:val="0"/>
          <w:sz w:val="32"/>
          <w:szCs w:val="32"/>
        </w:rPr>
        <w:t>科研成果奖</w:t>
      </w:r>
    </w:p>
    <w:p w14:paraId="32F49FC2">
      <w:pPr>
        <w:kinsoku/>
        <w:overflowPunct w:val="0"/>
        <w:topLinePunct/>
        <w:autoSpaceDE/>
        <w:autoSpaceDN/>
        <w:spacing w:before="0" w:line="560" w:lineRule="exact"/>
        <w:ind w:left="0" w:righ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pacing w:val="0"/>
          <w:sz w:val="32"/>
          <w:szCs w:val="32"/>
        </w:rPr>
        <w:t>获国家级政府奖1项（排名前5）；或省部级政府奖1项（排名前3）；或社会科技奖1项（排名第1，参照国家科学技术奖励工作办公室社会科技奖励目录）。</w:t>
      </w:r>
    </w:p>
    <w:p w14:paraId="06A81B1C">
      <w:pPr>
        <w:kinsoku/>
        <w:overflowPunct w:val="0"/>
        <w:topLinePunct/>
        <w:autoSpaceDE/>
        <w:autoSpaceDN/>
        <w:spacing w:before="0" w:line="56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pacing w:val="0"/>
          <w:sz w:val="32"/>
          <w:szCs w:val="32"/>
          <w:lang w:eastAsia="zh-CN"/>
        </w:rPr>
        <w:t>4.</w:t>
      </w:r>
      <w:r>
        <w:rPr>
          <w:rFonts w:hint="default" w:ascii="Times New Roman" w:hAnsi="Times New Roman" w:eastAsia="仿宋_GB2312" w:cs="Times New Roman"/>
          <w:spacing w:val="0"/>
          <w:sz w:val="32"/>
          <w:szCs w:val="32"/>
        </w:rPr>
        <w:t>科研项目</w:t>
      </w:r>
    </w:p>
    <w:p w14:paraId="76EBFBFD">
      <w:pPr>
        <w:kinsoku/>
        <w:overflowPunct w:val="0"/>
        <w:topLinePunct/>
        <w:autoSpaceDE/>
        <w:autoSpaceDN/>
        <w:spacing w:before="0" w:line="560" w:lineRule="exact"/>
        <w:ind w:left="0" w:righ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pacing w:val="0"/>
          <w:sz w:val="32"/>
          <w:szCs w:val="32"/>
        </w:rPr>
        <w:t>主持省部级及以上科研项目1项；或主持到账经费的横向项</w:t>
      </w:r>
      <w:r>
        <w:rPr>
          <w:rFonts w:hint="default" w:ascii="Times New Roman" w:hAnsi="Times New Roman" w:eastAsia="仿宋_GB2312" w:cs="Times New Roman"/>
          <w:sz w:val="32"/>
          <w:szCs w:val="32"/>
        </w:rPr>
        <w:t>目（理工农医类40万元，人文社科类10万元）。</w:t>
      </w:r>
    </w:p>
    <w:p w14:paraId="61F5C5D5">
      <w:pPr>
        <w:kinsoku/>
        <w:overflowPunct w:val="0"/>
        <w:topLinePunct/>
        <w:autoSpaceDE/>
        <w:autoSpaceDN/>
        <w:spacing w:before="0" w:line="56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pacing w:val="0"/>
          <w:sz w:val="32"/>
          <w:szCs w:val="32"/>
          <w:lang w:eastAsia="zh-CN"/>
        </w:rPr>
        <w:t>5.</w:t>
      </w:r>
      <w:r>
        <w:rPr>
          <w:rFonts w:hint="default" w:ascii="Times New Roman" w:hAnsi="Times New Roman" w:eastAsia="仿宋_GB2312" w:cs="Times New Roman"/>
          <w:spacing w:val="0"/>
          <w:sz w:val="32"/>
          <w:szCs w:val="32"/>
        </w:rPr>
        <w:t>社会服务</w:t>
      </w:r>
    </w:p>
    <w:p w14:paraId="6FDFC2A4">
      <w:pPr>
        <w:kinsoku/>
        <w:overflowPunct w:val="0"/>
        <w:topLinePunct/>
        <w:autoSpaceDE/>
        <w:autoSpaceDN/>
        <w:spacing w:before="0" w:line="56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pacing w:val="0"/>
          <w:sz w:val="32"/>
          <w:szCs w:val="32"/>
        </w:rPr>
        <w:t>被副省（部）级及以上采纳咨询报告1项；或省部级及以上</w:t>
      </w:r>
      <w:r>
        <w:rPr>
          <w:rFonts w:hint="default" w:ascii="Times New Roman" w:hAnsi="Times New Roman" w:eastAsia="仿宋_GB2312" w:cs="Times New Roman"/>
          <w:sz w:val="32"/>
          <w:szCs w:val="32"/>
        </w:rPr>
        <w:t>领导肯定性批示1项；或制定国际、国家标准1项；或成果转化</w:t>
      </w:r>
      <w:r>
        <w:rPr>
          <w:rFonts w:hint="default" w:ascii="Times New Roman" w:hAnsi="Times New Roman" w:eastAsia="仿宋_GB2312" w:cs="Times New Roman"/>
          <w:spacing w:val="0"/>
          <w:sz w:val="32"/>
          <w:szCs w:val="32"/>
        </w:rPr>
        <w:t>经费5万元</w:t>
      </w:r>
      <w:r>
        <w:rPr>
          <w:rFonts w:hint="eastAsia" w:ascii="Times New Roman" w:hAnsi="Times New Roman" w:eastAsia="仿宋_GB2312" w:cs="Times New Roman"/>
          <w:spacing w:val="0"/>
          <w:sz w:val="32"/>
          <w:szCs w:val="32"/>
          <w:lang w:eastAsia="zh-CN"/>
        </w:rPr>
        <w:t>；</w:t>
      </w:r>
      <w:r>
        <w:rPr>
          <w:rFonts w:hint="eastAsia" w:ascii="Times New Roman" w:hAnsi="Times New Roman" w:eastAsia="仿宋_GB2312" w:cs="Times New Roman"/>
          <w:spacing w:val="0"/>
          <w:sz w:val="32"/>
          <w:szCs w:val="32"/>
          <w:lang w:val="en-US" w:eastAsia="zh-CN"/>
        </w:rPr>
        <w:t>或其他同等成果</w:t>
      </w:r>
      <w:r>
        <w:rPr>
          <w:rFonts w:hint="default" w:ascii="Times New Roman" w:hAnsi="Times New Roman" w:eastAsia="仿宋_GB2312" w:cs="Times New Roman"/>
          <w:spacing w:val="0"/>
          <w:sz w:val="32"/>
          <w:szCs w:val="32"/>
        </w:rPr>
        <w:t>。</w:t>
      </w:r>
    </w:p>
    <w:p w14:paraId="499E4A22">
      <w:pPr>
        <w:numPr>
          <w:ilvl w:val="-1"/>
          <w:numId w:val="0"/>
        </w:numPr>
        <w:kinsoku/>
        <w:overflowPunct w:val="0"/>
        <w:topLinePunct/>
        <w:autoSpaceDE/>
        <w:autoSpaceDN/>
        <w:spacing w:before="0" w:line="560" w:lineRule="exact"/>
        <w:ind w:left="0" w:firstLine="640" w:firstLineChars="200"/>
        <w:outlineLvl w:val="9"/>
        <w:rPr>
          <w:rFonts w:hint="default" w:ascii="Times New Roman" w:hAnsi="Times New Roman" w:eastAsia="黑体" w:cs="Times New Roman"/>
          <w:b w:val="0"/>
          <w:bCs w:val="0"/>
          <w:spacing w:val="0"/>
          <w:sz w:val="32"/>
          <w:szCs w:val="32"/>
        </w:rPr>
      </w:pPr>
      <w:r>
        <w:rPr>
          <w:rFonts w:hint="eastAsia" w:ascii="Times New Roman" w:hAnsi="Times New Roman" w:eastAsia="黑体" w:cs="Times New Roman"/>
          <w:b w:val="0"/>
          <w:bCs w:val="0"/>
          <w:spacing w:val="0"/>
          <w:sz w:val="32"/>
          <w:szCs w:val="32"/>
          <w:lang w:val="en-US" w:eastAsia="zh-CN"/>
        </w:rPr>
        <w:t>三、</w:t>
      </w:r>
      <w:r>
        <w:rPr>
          <w:rFonts w:hint="default" w:ascii="Times New Roman" w:hAnsi="Times New Roman" w:eastAsia="黑体" w:cs="Times New Roman"/>
          <w:b w:val="0"/>
          <w:bCs w:val="0"/>
          <w:spacing w:val="0"/>
          <w:sz w:val="32"/>
          <w:szCs w:val="32"/>
        </w:rPr>
        <w:t>专业型导师岗位的基本条件</w:t>
      </w:r>
    </w:p>
    <w:p w14:paraId="4AEE7947">
      <w:pPr>
        <w:kinsoku/>
        <w:overflowPunct w:val="0"/>
        <w:topLinePunct/>
        <w:autoSpaceDE/>
        <w:autoSpaceDN/>
        <w:spacing w:before="0" w:line="560" w:lineRule="exact"/>
        <w:ind w:left="0" w:righ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pacing w:val="0"/>
          <w:sz w:val="32"/>
          <w:szCs w:val="32"/>
        </w:rPr>
        <w:t>（一）坚持正确的政治方向，</w:t>
      </w:r>
      <w:r>
        <w:rPr>
          <w:rFonts w:hint="default" w:ascii="Times New Roman" w:hAnsi="Times New Roman" w:eastAsia="仿宋_GB2312" w:cs="Times New Roman"/>
          <w:spacing w:val="0"/>
          <w:sz w:val="32"/>
          <w:szCs w:val="32"/>
          <w:lang w:eastAsia="zh-CN"/>
        </w:rPr>
        <w:t>拥护中国共产党领导</w:t>
      </w:r>
      <w:r>
        <w:rPr>
          <w:rFonts w:hint="default" w:ascii="Times New Roman" w:hAnsi="Times New Roman" w:eastAsia="仿宋_GB2312" w:cs="Times New Roman"/>
          <w:spacing w:val="0"/>
          <w:sz w:val="32"/>
          <w:szCs w:val="32"/>
        </w:rPr>
        <w:t>，严格执行国家法律法规和教育方针政策，具有高度的政治责任感。</w:t>
      </w:r>
    </w:p>
    <w:p w14:paraId="4F3D402E">
      <w:pPr>
        <w:kinsoku/>
        <w:overflowPunct w:val="0"/>
        <w:topLinePunct/>
        <w:autoSpaceDE/>
        <w:autoSpaceDN/>
        <w:spacing w:before="0" w:line="560" w:lineRule="exact"/>
        <w:ind w:left="0" w:firstLine="640" w:firstLineChars="200"/>
        <w:jc w:val="both"/>
        <w:rPr>
          <w:rFonts w:hint="default" w:ascii="Times New Roman" w:hAnsi="Times New Roman" w:eastAsia="仿宋_GB2312" w:cs="Times New Roman"/>
          <w:spacing w:val="0"/>
          <w:sz w:val="32"/>
          <w:szCs w:val="32"/>
        </w:rPr>
      </w:pPr>
      <w:r>
        <w:rPr>
          <w:rFonts w:hint="default" w:ascii="Times New Roman" w:hAnsi="Times New Roman" w:eastAsia="仿宋_GB2312" w:cs="Times New Roman"/>
          <w:spacing w:val="0"/>
          <w:sz w:val="32"/>
          <w:szCs w:val="32"/>
        </w:rPr>
        <w:t>（二）具有较坚实的理论基础和系统的专业知识，在所申请的专业类别或领域具有较为丰富的工程背景或实践经验，能够履行导师职责。</w:t>
      </w:r>
    </w:p>
    <w:p w14:paraId="55F31C6F">
      <w:pPr>
        <w:kinsoku/>
        <w:overflowPunct w:val="0"/>
        <w:topLinePunct/>
        <w:autoSpaceDE/>
        <w:autoSpaceDN/>
        <w:spacing w:before="0" w:line="56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pacing w:val="0"/>
          <w:sz w:val="32"/>
          <w:szCs w:val="32"/>
        </w:rPr>
        <w:t>（三）年龄</w:t>
      </w:r>
      <w:r>
        <w:rPr>
          <w:rFonts w:hint="eastAsia" w:ascii="Times New Roman" w:hAnsi="Times New Roman" w:eastAsia="仿宋_GB2312" w:cs="Times New Roman"/>
          <w:spacing w:val="0"/>
          <w:sz w:val="32"/>
          <w:szCs w:val="32"/>
          <w:lang w:val="en-US" w:eastAsia="zh-CN"/>
        </w:rPr>
        <w:t>原则上</w:t>
      </w:r>
      <w:r>
        <w:rPr>
          <w:rFonts w:hint="default" w:ascii="Times New Roman" w:hAnsi="Times New Roman" w:eastAsia="仿宋_GB2312" w:cs="Times New Roman"/>
          <w:spacing w:val="0"/>
          <w:sz w:val="32"/>
          <w:szCs w:val="32"/>
        </w:rPr>
        <w:t>不超过55周岁，具有高级专业技术职务和硕士学位</w:t>
      </w:r>
      <w:r>
        <w:rPr>
          <w:rFonts w:hint="default" w:ascii="Times New Roman" w:hAnsi="Times New Roman" w:eastAsia="仿宋_GB2312" w:cs="Times New Roman"/>
          <w:spacing w:val="0"/>
          <w:sz w:val="32"/>
          <w:szCs w:val="32"/>
          <w:lang w:eastAsia="zh-CN"/>
        </w:rPr>
        <w:t>，</w:t>
      </w:r>
      <w:r>
        <w:rPr>
          <w:rFonts w:hint="default" w:ascii="Times New Roman" w:hAnsi="Times New Roman" w:eastAsia="仿宋_GB2312" w:cs="Times New Roman"/>
          <w:spacing w:val="0"/>
          <w:sz w:val="32"/>
          <w:szCs w:val="32"/>
          <w:lang w:val="en-US" w:eastAsia="zh-CN"/>
        </w:rPr>
        <w:t>或入选</w:t>
      </w:r>
      <w:r>
        <w:rPr>
          <w:rFonts w:hint="default" w:ascii="Times New Roman" w:hAnsi="Times New Roman" w:eastAsia="仿宋_GB2312" w:cs="Times New Roman"/>
          <w:sz w:val="32"/>
          <w:szCs w:val="32"/>
          <w:lang w:eastAsia="zh-CN"/>
        </w:rPr>
        <w:t>省</w:t>
      </w:r>
      <w:r>
        <w:rPr>
          <w:rFonts w:hint="default" w:ascii="Times New Roman" w:hAnsi="Times New Roman" w:eastAsia="仿宋_GB2312" w:cs="Times New Roman"/>
          <w:spacing w:val="0"/>
          <w:sz w:val="32"/>
          <w:szCs w:val="32"/>
          <w:lang w:val="en-US" w:eastAsia="zh-CN"/>
        </w:rPr>
        <w:t>级“</w:t>
      </w:r>
      <w:r>
        <w:rPr>
          <w:rFonts w:hint="default" w:ascii="Times New Roman" w:hAnsi="Times New Roman" w:eastAsia="仿宋_GB2312" w:cs="Times New Roman"/>
          <w:sz w:val="32"/>
          <w:szCs w:val="32"/>
          <w:lang w:eastAsia="zh-CN"/>
        </w:rPr>
        <w:t>科技副总</w:t>
      </w:r>
      <w:r>
        <w:rPr>
          <w:rFonts w:hint="default" w:ascii="Times New Roman" w:hAnsi="Times New Roman" w:eastAsia="仿宋_GB2312" w:cs="Times New Roman"/>
          <w:spacing w:val="0"/>
          <w:sz w:val="32"/>
          <w:szCs w:val="32"/>
          <w:lang w:val="en-US" w:eastAsia="zh-CN"/>
        </w:rPr>
        <w:t>”</w:t>
      </w:r>
      <w:r>
        <w:rPr>
          <w:rFonts w:hint="default" w:ascii="Times New Roman" w:hAnsi="Times New Roman" w:eastAsia="仿宋_GB2312" w:cs="Times New Roman"/>
          <w:spacing w:val="0"/>
          <w:sz w:val="32"/>
          <w:szCs w:val="32"/>
        </w:rPr>
        <w:t>，或具有中级专业技术职务且在相关领域有至少5年工作经验，或具有博士学位。</w:t>
      </w:r>
    </w:p>
    <w:p w14:paraId="3B2C3B9A">
      <w:pPr>
        <w:kinsoku/>
        <w:overflowPunct w:val="0"/>
        <w:topLinePunct/>
        <w:autoSpaceDE/>
        <w:autoSpaceDN/>
        <w:spacing w:before="0" w:line="56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pacing w:val="0"/>
          <w:sz w:val="32"/>
          <w:szCs w:val="32"/>
        </w:rPr>
        <w:t>（四）业绩条件。近五年，在科学研究、社会服务等业绩方面至少满足下列条件中的两条：</w:t>
      </w:r>
    </w:p>
    <w:p w14:paraId="4F89B8FE">
      <w:pPr>
        <w:kinsoku/>
        <w:overflowPunct w:val="0"/>
        <w:topLinePunct/>
        <w:autoSpaceDE/>
        <w:autoSpaceDN/>
        <w:spacing w:before="0" w:line="56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pacing w:val="0"/>
          <w:sz w:val="32"/>
          <w:szCs w:val="32"/>
          <w:lang w:eastAsia="zh-CN"/>
        </w:rPr>
        <w:t>1.</w:t>
      </w:r>
      <w:r>
        <w:rPr>
          <w:rFonts w:hint="default" w:ascii="Times New Roman" w:hAnsi="Times New Roman" w:eastAsia="仿宋_GB2312" w:cs="Times New Roman"/>
          <w:spacing w:val="0"/>
          <w:sz w:val="32"/>
          <w:szCs w:val="32"/>
        </w:rPr>
        <w:t>高水平论文</w:t>
      </w:r>
    </w:p>
    <w:p w14:paraId="2437808D">
      <w:pPr>
        <w:kinsoku/>
        <w:overflowPunct w:val="0"/>
        <w:topLinePunct/>
        <w:autoSpaceDE/>
        <w:autoSpaceDN/>
        <w:spacing w:before="0" w:line="56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pacing w:val="0"/>
          <w:sz w:val="32"/>
          <w:szCs w:val="32"/>
        </w:rPr>
        <w:t>①理工农医类：在高水平期刊或会议上发表本专业相关论文2篇。</w:t>
      </w:r>
    </w:p>
    <w:p w14:paraId="717A95D1">
      <w:pPr>
        <w:kinsoku/>
        <w:overflowPunct w:val="0"/>
        <w:topLinePunct/>
        <w:autoSpaceDE/>
        <w:autoSpaceDN/>
        <w:spacing w:before="0" w:line="56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pacing w:val="0"/>
          <w:sz w:val="32"/>
          <w:szCs w:val="32"/>
        </w:rPr>
        <w:t>②人文社科类：在高水平期刊或会议上发表本专业相关论文（含艺术作品）1篇。</w:t>
      </w:r>
    </w:p>
    <w:p w14:paraId="25204F24">
      <w:pPr>
        <w:kinsoku/>
        <w:overflowPunct w:val="0"/>
        <w:topLinePunct/>
        <w:autoSpaceDE/>
        <w:autoSpaceDN/>
        <w:spacing w:before="0" w:line="56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pacing w:val="0"/>
          <w:sz w:val="32"/>
          <w:szCs w:val="32"/>
          <w:lang w:eastAsia="zh-CN"/>
        </w:rPr>
        <w:t>2.</w:t>
      </w:r>
      <w:r>
        <w:rPr>
          <w:rFonts w:hint="default" w:ascii="Times New Roman" w:hAnsi="Times New Roman" w:eastAsia="仿宋_GB2312" w:cs="Times New Roman"/>
          <w:spacing w:val="0"/>
          <w:sz w:val="32"/>
          <w:szCs w:val="32"/>
        </w:rPr>
        <w:t>专著、专利</w:t>
      </w:r>
    </w:p>
    <w:p w14:paraId="57261EA0">
      <w:pPr>
        <w:kinsoku/>
        <w:overflowPunct w:val="0"/>
        <w:topLinePunct/>
        <w:autoSpaceDE/>
        <w:autoSpaceDN/>
        <w:spacing w:before="0" w:line="56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pacing w:val="0"/>
          <w:sz w:val="32"/>
          <w:szCs w:val="32"/>
        </w:rPr>
        <w:t>在一级出版社出版专著1部，或授权发明专利2件。</w:t>
      </w:r>
    </w:p>
    <w:p w14:paraId="6F7BBF8F">
      <w:pPr>
        <w:kinsoku/>
        <w:overflowPunct w:val="0"/>
        <w:topLinePunct/>
        <w:autoSpaceDE/>
        <w:autoSpaceDN/>
        <w:spacing w:before="0" w:line="56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pacing w:val="0"/>
          <w:sz w:val="32"/>
          <w:szCs w:val="32"/>
          <w:lang w:eastAsia="zh-CN"/>
        </w:rPr>
        <w:t>3.</w:t>
      </w:r>
      <w:r>
        <w:rPr>
          <w:rFonts w:hint="default" w:ascii="Times New Roman" w:hAnsi="Times New Roman" w:eastAsia="仿宋_GB2312" w:cs="Times New Roman"/>
          <w:spacing w:val="0"/>
          <w:sz w:val="32"/>
          <w:szCs w:val="32"/>
        </w:rPr>
        <w:t>科研成果奖</w:t>
      </w:r>
    </w:p>
    <w:p w14:paraId="0802BB95">
      <w:pPr>
        <w:kinsoku/>
        <w:overflowPunct w:val="0"/>
        <w:topLinePunct/>
        <w:autoSpaceDE/>
        <w:autoSpaceDN/>
        <w:spacing w:before="0" w:line="56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pacing w:val="0"/>
          <w:sz w:val="32"/>
          <w:szCs w:val="32"/>
        </w:rPr>
        <w:t>获国家级政府奖1项（排名前8）；或省部级政府奖1项（排名前5）；或市厅级政府奖1项（排名第1）；或社会科技奖1</w:t>
      </w:r>
      <w:r>
        <w:rPr>
          <w:rFonts w:hint="default" w:ascii="Times New Roman" w:hAnsi="Times New Roman" w:eastAsia="仿宋_GB2312" w:cs="Times New Roman"/>
          <w:spacing w:val="0"/>
          <w:sz w:val="32"/>
          <w:szCs w:val="32"/>
          <w:lang w:eastAsia="zh-CN"/>
        </w:rPr>
        <w:t>项</w:t>
      </w:r>
      <w:r>
        <w:rPr>
          <w:rFonts w:hint="default" w:ascii="Times New Roman" w:hAnsi="Times New Roman" w:eastAsia="仿宋_GB2312" w:cs="Times New Roman"/>
          <w:spacing w:val="0"/>
          <w:sz w:val="32"/>
          <w:szCs w:val="32"/>
        </w:rPr>
        <w:t>（排名前3，参照国家科学技术奖励工作办公室社会科技奖励目录）；或国际知名科技竞赛奖、国家一级学会/协会科技奖1项（排名前3）。</w:t>
      </w:r>
    </w:p>
    <w:p w14:paraId="528EF5BD">
      <w:pPr>
        <w:kinsoku/>
        <w:overflowPunct w:val="0"/>
        <w:topLinePunct/>
        <w:autoSpaceDE/>
        <w:autoSpaceDN/>
        <w:spacing w:before="0" w:line="56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pacing w:val="0"/>
          <w:sz w:val="32"/>
          <w:szCs w:val="32"/>
          <w:lang w:eastAsia="zh-CN"/>
        </w:rPr>
        <w:t>4.</w:t>
      </w:r>
      <w:r>
        <w:rPr>
          <w:rFonts w:hint="default" w:ascii="Times New Roman" w:hAnsi="Times New Roman" w:eastAsia="仿宋_GB2312" w:cs="Times New Roman"/>
          <w:spacing w:val="0"/>
          <w:sz w:val="32"/>
          <w:szCs w:val="32"/>
        </w:rPr>
        <w:t>科研项目</w:t>
      </w:r>
    </w:p>
    <w:p w14:paraId="73BF4B38">
      <w:pPr>
        <w:kinsoku/>
        <w:overflowPunct w:val="0"/>
        <w:topLinePunct/>
        <w:autoSpaceDE/>
        <w:autoSpaceDN/>
        <w:spacing w:before="0" w:line="560" w:lineRule="exact"/>
        <w:ind w:left="0" w:right="0" w:firstLine="640" w:firstLineChars="200"/>
        <w:jc w:val="both"/>
        <w:rPr>
          <w:rFonts w:hint="default" w:ascii="Times New Roman" w:hAnsi="Times New Roman" w:eastAsia="仿宋_GB2312" w:cs="Times New Roman"/>
          <w:spacing w:val="0"/>
          <w:sz w:val="32"/>
          <w:szCs w:val="32"/>
        </w:rPr>
      </w:pPr>
      <w:r>
        <w:rPr>
          <w:rFonts w:hint="default" w:ascii="Times New Roman" w:hAnsi="Times New Roman" w:eastAsia="仿宋_GB2312" w:cs="Times New Roman"/>
          <w:spacing w:val="0"/>
          <w:sz w:val="32"/>
          <w:szCs w:val="32"/>
        </w:rPr>
        <w:t>主持省部级及以上科研项目1项；或主持市厅级科研项目2项；或主持到账经费的横向项目（理工农医类80万元，人文社科类20万元）。</w:t>
      </w:r>
    </w:p>
    <w:p w14:paraId="07842AAC">
      <w:pPr>
        <w:numPr>
          <w:ilvl w:val="0"/>
          <w:numId w:val="1"/>
        </w:numPr>
        <w:kinsoku/>
        <w:overflowPunct w:val="0"/>
        <w:topLinePunct/>
        <w:autoSpaceDE/>
        <w:autoSpaceDN/>
        <w:spacing w:before="0" w:line="560" w:lineRule="exact"/>
        <w:ind w:left="0" w:firstLine="640" w:firstLineChars="200"/>
        <w:jc w:val="both"/>
        <w:rPr>
          <w:rFonts w:hint="default" w:ascii="Times New Roman" w:hAnsi="Times New Roman" w:eastAsia="仿宋_GB2312" w:cs="Times New Roman"/>
          <w:spacing w:val="0"/>
          <w:sz w:val="32"/>
          <w:szCs w:val="32"/>
        </w:rPr>
      </w:pPr>
      <w:r>
        <w:rPr>
          <w:rFonts w:hint="default" w:ascii="Times New Roman" w:hAnsi="Times New Roman" w:eastAsia="仿宋_GB2312" w:cs="Times New Roman"/>
          <w:spacing w:val="0"/>
          <w:sz w:val="32"/>
          <w:szCs w:val="32"/>
        </w:rPr>
        <w:t>社会服务</w:t>
      </w:r>
    </w:p>
    <w:p w14:paraId="3D3935E0">
      <w:pPr>
        <w:kinsoku/>
        <w:overflowPunct w:val="0"/>
        <w:topLinePunct/>
        <w:autoSpaceDE/>
        <w:autoSpaceDN/>
        <w:spacing w:before="0" w:line="560" w:lineRule="exact"/>
        <w:ind w:left="0" w:righ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pacing w:val="0"/>
          <w:sz w:val="32"/>
          <w:szCs w:val="32"/>
        </w:rPr>
        <w:t>被副省（部）级及以上采纳咨询报告1项；或省部级及以上</w:t>
      </w:r>
      <w:r>
        <w:rPr>
          <w:rFonts w:hint="default" w:ascii="Times New Roman" w:hAnsi="Times New Roman" w:eastAsia="仿宋_GB2312" w:cs="Times New Roman"/>
          <w:sz w:val="32"/>
          <w:szCs w:val="32"/>
        </w:rPr>
        <w:t>领导肯定性批示1项；或制定国际、国家标准1项；或成果转化</w:t>
      </w:r>
      <w:r>
        <w:rPr>
          <w:rFonts w:hint="default" w:ascii="Times New Roman" w:hAnsi="Times New Roman" w:eastAsia="仿宋_GB2312" w:cs="Times New Roman"/>
          <w:spacing w:val="0"/>
          <w:sz w:val="32"/>
          <w:szCs w:val="32"/>
        </w:rPr>
        <w:t>经费10万元</w:t>
      </w:r>
      <w:r>
        <w:rPr>
          <w:rFonts w:hint="eastAsia" w:ascii="Times New Roman" w:hAnsi="Times New Roman" w:eastAsia="仿宋_GB2312" w:cs="Times New Roman"/>
          <w:spacing w:val="0"/>
          <w:sz w:val="32"/>
          <w:szCs w:val="32"/>
          <w:lang w:eastAsia="zh-CN"/>
        </w:rPr>
        <w:t>；</w:t>
      </w:r>
      <w:r>
        <w:rPr>
          <w:rFonts w:hint="eastAsia" w:ascii="Times New Roman" w:hAnsi="Times New Roman" w:eastAsia="仿宋_GB2312" w:cs="Times New Roman"/>
          <w:spacing w:val="0"/>
          <w:sz w:val="32"/>
          <w:szCs w:val="32"/>
          <w:lang w:val="en-US" w:eastAsia="zh-CN"/>
        </w:rPr>
        <w:t>或其他同等成果</w:t>
      </w:r>
      <w:r>
        <w:rPr>
          <w:rFonts w:hint="default" w:ascii="Times New Roman" w:hAnsi="Times New Roman" w:eastAsia="仿宋_GB2312" w:cs="Times New Roman"/>
          <w:spacing w:val="0"/>
          <w:sz w:val="32"/>
          <w:szCs w:val="32"/>
        </w:rPr>
        <w:t>。</w:t>
      </w:r>
    </w:p>
    <w:p w14:paraId="77E13A9F">
      <w:pPr>
        <w:kinsoku/>
        <w:overflowPunct w:val="0"/>
        <w:topLinePunct/>
        <w:autoSpaceDE/>
        <w:autoSpaceDN/>
        <w:spacing w:line="560" w:lineRule="exact"/>
        <w:ind w:left="0" w:firstLine="640" w:firstLineChars="200"/>
        <w:outlineLvl w:val="9"/>
        <w:rPr>
          <w:rFonts w:hint="default" w:ascii="Times New Roman" w:hAnsi="Times New Roman" w:eastAsia="黑体" w:cs="Times New Roman"/>
          <w:sz w:val="32"/>
          <w:szCs w:val="32"/>
        </w:rPr>
      </w:pPr>
      <w:r>
        <w:rPr>
          <w:rFonts w:hint="default" w:ascii="Times New Roman" w:hAnsi="Times New Roman" w:eastAsia="黑体" w:cs="Times New Roman"/>
          <w:b w:val="0"/>
          <w:bCs w:val="0"/>
          <w:spacing w:val="0"/>
          <w:sz w:val="32"/>
          <w:szCs w:val="32"/>
        </w:rPr>
        <w:t>四、学术型/专业型导师的选聘程序</w:t>
      </w:r>
    </w:p>
    <w:p w14:paraId="220D30D9">
      <w:pPr>
        <w:kinsoku/>
        <w:overflowPunct w:val="0"/>
        <w:topLinePunct/>
        <w:autoSpaceDE/>
        <w:autoSpaceDN/>
        <w:spacing w:before="0" w:line="56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pacing w:val="0"/>
          <w:sz w:val="32"/>
          <w:szCs w:val="32"/>
        </w:rPr>
        <w:t>（一）个人申报。申请人向学科专业所在学院提出申请。</w:t>
      </w:r>
    </w:p>
    <w:p w14:paraId="364189F3">
      <w:pPr>
        <w:kinsoku/>
        <w:overflowPunct w:val="0"/>
        <w:topLinePunct/>
        <w:autoSpaceDE/>
        <w:autoSpaceDN/>
        <w:spacing w:before="0" w:line="560" w:lineRule="exact"/>
        <w:ind w:left="0" w:righ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pacing w:val="0"/>
          <w:sz w:val="32"/>
          <w:szCs w:val="32"/>
        </w:rPr>
        <w:t>（二）学院学位评定分委员会审议。学院审核申请材料，提交学院学位评定分委员会投票表决。</w:t>
      </w:r>
    </w:p>
    <w:p w14:paraId="4DA864B2">
      <w:pPr>
        <w:kinsoku/>
        <w:overflowPunct w:val="0"/>
        <w:topLinePunct/>
        <w:autoSpaceDE/>
        <w:autoSpaceDN/>
        <w:spacing w:before="0" w:line="56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pacing w:val="0"/>
          <w:sz w:val="32"/>
          <w:szCs w:val="32"/>
        </w:rPr>
        <w:t>（三）学院推荐。学院党政联席会议审议确定拟推荐名单，公示后上报。</w:t>
      </w:r>
    </w:p>
    <w:p w14:paraId="424944F9">
      <w:pPr>
        <w:kinsoku/>
        <w:overflowPunct w:val="0"/>
        <w:topLinePunct/>
        <w:autoSpaceDE/>
        <w:autoSpaceDN/>
        <w:spacing w:before="0" w:line="56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pacing w:val="0"/>
          <w:sz w:val="32"/>
          <w:szCs w:val="32"/>
        </w:rPr>
        <w:t>（四）校学位评定委员会审议。研究生院复核拟推荐名单，并提交学校学位评定委员会投票表决。</w:t>
      </w:r>
    </w:p>
    <w:p w14:paraId="06822C11">
      <w:pPr>
        <w:kinsoku/>
        <w:overflowPunct w:val="0"/>
        <w:topLinePunct/>
        <w:autoSpaceDE/>
        <w:autoSpaceDN/>
        <w:spacing w:before="0" w:line="560" w:lineRule="exact"/>
        <w:ind w:left="0" w:righ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pacing w:val="0"/>
          <w:sz w:val="32"/>
          <w:szCs w:val="32"/>
        </w:rPr>
        <w:t>（五）学校审定。学校校长办公会议审定导师名单，公示后发文聘任。</w:t>
      </w:r>
    </w:p>
    <w:p w14:paraId="1D296870">
      <w:pPr>
        <w:kinsoku/>
        <w:overflowPunct w:val="0"/>
        <w:topLinePunct/>
        <w:autoSpaceDE/>
        <w:autoSpaceDN/>
        <w:spacing w:before="0" w:line="560" w:lineRule="exact"/>
        <w:ind w:left="0" w:firstLine="640" w:firstLineChars="200"/>
        <w:outlineLvl w:val="9"/>
        <w:rPr>
          <w:rFonts w:hint="default" w:ascii="Times New Roman" w:hAnsi="Times New Roman" w:eastAsia="黑体" w:cs="Times New Roman"/>
          <w:b w:val="0"/>
          <w:bCs w:val="0"/>
          <w:spacing w:val="0"/>
          <w:sz w:val="32"/>
          <w:szCs w:val="32"/>
        </w:rPr>
      </w:pPr>
      <w:r>
        <w:rPr>
          <w:rFonts w:hint="default" w:ascii="Times New Roman" w:hAnsi="Times New Roman" w:eastAsia="黑体" w:cs="Times New Roman"/>
          <w:b w:val="0"/>
          <w:bCs w:val="0"/>
          <w:spacing w:val="0"/>
          <w:sz w:val="32"/>
          <w:szCs w:val="32"/>
        </w:rPr>
        <w:t>五、校外实践导师岗位的基本条件与选聘程序</w:t>
      </w:r>
    </w:p>
    <w:p w14:paraId="7FD71DF9">
      <w:pPr>
        <w:kinsoku/>
        <w:overflowPunct/>
        <w:topLinePunct w:val="0"/>
        <w:autoSpaceDE/>
        <w:autoSpaceDN/>
        <w:spacing w:before="0" w:line="560" w:lineRule="exact"/>
        <w:ind w:right="0" w:firstLine="640" w:firstLineChars="200"/>
        <w:jc w:val="both"/>
        <w:rPr>
          <w:rFonts w:hint="default" w:ascii="Times New Roman" w:hAnsi="Times New Roman" w:eastAsia="仿宋_GB2312" w:cs="Times New Roman"/>
          <w:spacing w:val="0"/>
          <w:sz w:val="32"/>
          <w:szCs w:val="32"/>
        </w:rPr>
      </w:pPr>
      <w:r>
        <w:rPr>
          <w:rFonts w:hint="default" w:ascii="Times New Roman" w:hAnsi="Times New Roman" w:eastAsia="仿宋_GB2312" w:cs="Times New Roman"/>
          <w:spacing w:val="0"/>
          <w:sz w:val="32"/>
          <w:szCs w:val="32"/>
        </w:rPr>
        <w:t>专业学位研究生培养实行专业型导师和校外实践导师共同指</w:t>
      </w:r>
      <w:r>
        <w:rPr>
          <w:rFonts w:hint="default" w:ascii="Times New Roman" w:hAnsi="Times New Roman" w:eastAsia="仿宋_GB2312" w:cs="Times New Roman"/>
          <w:spacing w:val="0"/>
          <w:sz w:val="32"/>
          <w:szCs w:val="32"/>
          <w:lang w:val="en-US" w:eastAsia="zh-CN"/>
        </w:rPr>
        <w:t>导制度。</w:t>
      </w:r>
      <w:r>
        <w:rPr>
          <w:rFonts w:hint="default" w:ascii="Times New Roman" w:hAnsi="Times New Roman" w:eastAsia="仿宋_GB2312" w:cs="Times New Roman"/>
          <w:spacing w:val="0"/>
          <w:sz w:val="32"/>
          <w:szCs w:val="32"/>
        </w:rPr>
        <w:t>校外实践导师配合专业型导师完成专业实践</w:t>
      </w:r>
      <w:r>
        <w:rPr>
          <w:rFonts w:hint="default" w:ascii="Times New Roman" w:hAnsi="Times New Roman" w:eastAsia="仿宋_GB2312" w:cs="Times New Roman"/>
          <w:spacing w:val="0"/>
          <w:sz w:val="32"/>
          <w:szCs w:val="32"/>
          <w:lang w:eastAsia="zh-CN"/>
        </w:rPr>
        <w:t>、</w:t>
      </w:r>
      <w:r>
        <w:rPr>
          <w:rFonts w:hint="default" w:ascii="Times New Roman" w:hAnsi="Times New Roman" w:eastAsia="仿宋_GB2312" w:cs="Times New Roman"/>
          <w:spacing w:val="0"/>
          <w:sz w:val="32"/>
          <w:szCs w:val="32"/>
        </w:rPr>
        <w:t>项目研发等环节的指导工作。</w:t>
      </w:r>
    </w:p>
    <w:p w14:paraId="451CDF6B">
      <w:pPr>
        <w:kinsoku/>
        <w:overflowPunct w:val="0"/>
        <w:topLinePunct/>
        <w:autoSpaceDE/>
        <w:autoSpaceDN/>
        <w:spacing w:before="0" w:line="56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pacing w:val="0"/>
          <w:sz w:val="32"/>
          <w:szCs w:val="32"/>
        </w:rPr>
        <w:t>（一）校外实践导师岗位的基本条件</w:t>
      </w:r>
    </w:p>
    <w:p w14:paraId="1561F113">
      <w:pPr>
        <w:kinsoku/>
        <w:overflowPunct w:val="0"/>
        <w:topLinePunct/>
        <w:autoSpaceDE/>
        <w:autoSpaceDN/>
        <w:spacing w:before="0" w:line="560" w:lineRule="exact"/>
        <w:ind w:left="0" w:righ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pacing w:val="0"/>
          <w:sz w:val="32"/>
          <w:szCs w:val="32"/>
          <w:lang w:eastAsia="zh-CN"/>
        </w:rPr>
        <w:t>1.</w:t>
      </w:r>
      <w:r>
        <w:rPr>
          <w:rFonts w:hint="default" w:ascii="Times New Roman" w:hAnsi="Times New Roman" w:eastAsia="仿宋_GB2312" w:cs="Times New Roman"/>
          <w:spacing w:val="0"/>
          <w:sz w:val="32"/>
          <w:szCs w:val="32"/>
        </w:rPr>
        <w:t>年龄一般不超过60周岁，拥有本专业高级专业技术职务</w:t>
      </w:r>
      <w:r>
        <w:rPr>
          <w:rFonts w:hint="default" w:ascii="Times New Roman" w:hAnsi="Times New Roman" w:eastAsia="仿宋_GB2312" w:cs="Times New Roman"/>
          <w:spacing w:val="0"/>
          <w:sz w:val="32"/>
          <w:szCs w:val="32"/>
          <w:lang w:val="en-US" w:eastAsia="zh-CN"/>
        </w:rPr>
        <w:t>或入选省级“产业教授”</w:t>
      </w:r>
      <w:r>
        <w:rPr>
          <w:rFonts w:hint="default" w:ascii="Times New Roman" w:hAnsi="Times New Roman" w:eastAsia="仿宋_GB2312" w:cs="Times New Roman"/>
          <w:spacing w:val="0"/>
          <w:sz w:val="32"/>
          <w:szCs w:val="32"/>
        </w:rPr>
        <w:t>，原则上应具有专科及以上学历。</w:t>
      </w:r>
    </w:p>
    <w:p w14:paraId="077C52F1">
      <w:pPr>
        <w:kinsoku/>
        <w:overflowPunct w:val="0"/>
        <w:topLinePunct/>
        <w:autoSpaceDE/>
        <w:autoSpaceDN/>
        <w:spacing w:before="0" w:line="56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pacing w:val="0"/>
          <w:sz w:val="32"/>
          <w:szCs w:val="32"/>
          <w:lang w:eastAsia="zh-CN"/>
        </w:rPr>
        <w:t>2.</w:t>
      </w:r>
      <w:r>
        <w:rPr>
          <w:rFonts w:hint="default" w:ascii="Times New Roman" w:hAnsi="Times New Roman" w:eastAsia="仿宋_GB2312" w:cs="Times New Roman"/>
          <w:spacing w:val="0"/>
          <w:sz w:val="32"/>
          <w:szCs w:val="32"/>
        </w:rPr>
        <w:t>熟知本专业发展的最新成果与发展趋势，在相关领域具有丰富的实践经验</w:t>
      </w:r>
      <w:r>
        <w:rPr>
          <w:rFonts w:hint="default" w:ascii="Times New Roman" w:hAnsi="Times New Roman" w:eastAsia="仿宋_GB2312" w:cs="Times New Roman"/>
          <w:spacing w:val="0"/>
          <w:sz w:val="32"/>
          <w:szCs w:val="32"/>
          <w:lang w:eastAsia="zh-CN"/>
        </w:rPr>
        <w:t>，具</w:t>
      </w:r>
      <w:r>
        <w:rPr>
          <w:rFonts w:hint="default" w:ascii="Times New Roman" w:hAnsi="Times New Roman" w:eastAsia="仿宋_GB2312" w:cs="Times New Roman"/>
          <w:spacing w:val="0"/>
          <w:sz w:val="32"/>
          <w:szCs w:val="32"/>
        </w:rPr>
        <w:t>有较突出工作成绩和业务水平。</w:t>
      </w:r>
    </w:p>
    <w:p w14:paraId="58747D0B">
      <w:pPr>
        <w:kinsoku/>
        <w:overflowPunct w:val="0"/>
        <w:topLinePunct/>
        <w:autoSpaceDE/>
        <w:autoSpaceDN/>
        <w:spacing w:before="0" w:line="56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pacing w:val="0"/>
          <w:sz w:val="32"/>
          <w:szCs w:val="32"/>
        </w:rPr>
        <w:t>（二）校外实践导师选聘程序</w:t>
      </w:r>
    </w:p>
    <w:p w14:paraId="266CEC3E">
      <w:pPr>
        <w:kinsoku/>
        <w:overflowPunct w:val="0"/>
        <w:topLinePunct/>
        <w:autoSpaceDE/>
        <w:autoSpaceDN/>
        <w:spacing w:before="0" w:line="56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pacing w:val="0"/>
          <w:sz w:val="32"/>
          <w:szCs w:val="32"/>
        </w:rPr>
        <w:t>满足基本条件者填写《校外实践导师</w:t>
      </w:r>
      <w:r>
        <w:rPr>
          <w:rFonts w:hint="eastAsia" w:ascii="Times New Roman" w:hAnsi="Times New Roman" w:eastAsia="仿宋_GB2312" w:cs="Times New Roman"/>
          <w:spacing w:val="0"/>
          <w:sz w:val="32"/>
          <w:szCs w:val="32"/>
          <w:lang w:val="en-US" w:eastAsia="zh-CN"/>
        </w:rPr>
        <w:t>申请</w:t>
      </w:r>
      <w:r>
        <w:rPr>
          <w:rFonts w:hint="default" w:ascii="Times New Roman" w:hAnsi="Times New Roman" w:eastAsia="仿宋_GB2312" w:cs="Times New Roman"/>
          <w:spacing w:val="0"/>
          <w:sz w:val="32"/>
          <w:szCs w:val="32"/>
        </w:rPr>
        <w:t>审批表》，并将《审批表》和职称业绩等相应证明材料提交至专业所在学院，经学院学位评定分委员会审议表决后上报研究生院备案，备案后由相应学院聘任。</w:t>
      </w:r>
    </w:p>
    <w:p w14:paraId="735E5344">
      <w:pPr>
        <w:kinsoku/>
        <w:overflowPunct w:val="0"/>
        <w:topLinePunct/>
        <w:autoSpaceDE/>
        <w:autoSpaceDN/>
        <w:spacing w:line="560" w:lineRule="exact"/>
        <w:ind w:left="0" w:firstLine="640" w:firstLineChars="200"/>
        <w:outlineLvl w:val="9"/>
        <w:rPr>
          <w:rFonts w:hint="default" w:ascii="Times New Roman" w:hAnsi="Times New Roman" w:eastAsia="黑体" w:cs="Times New Roman"/>
          <w:sz w:val="32"/>
          <w:szCs w:val="32"/>
        </w:rPr>
      </w:pPr>
      <w:r>
        <w:rPr>
          <w:rFonts w:hint="default" w:ascii="Times New Roman" w:hAnsi="Times New Roman" w:eastAsia="黑体" w:cs="Times New Roman"/>
          <w:b w:val="0"/>
          <w:bCs w:val="0"/>
          <w:spacing w:val="0"/>
          <w:sz w:val="32"/>
          <w:szCs w:val="32"/>
        </w:rPr>
        <w:t>六、导师资格的直接认定</w:t>
      </w:r>
    </w:p>
    <w:p w14:paraId="0950A338">
      <w:pPr>
        <w:kinsoku/>
        <w:overflowPunct w:val="0"/>
        <w:topLinePunct/>
        <w:autoSpaceDE/>
        <w:autoSpaceDN/>
        <w:spacing w:before="0" w:line="56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pacing w:val="0"/>
          <w:sz w:val="32"/>
          <w:szCs w:val="32"/>
        </w:rPr>
        <w:t>（一）新引进教师已是研究生导师的，提供原单位批准其担任研究生导师的相关证明材料，经学院审核同意后，可申请直接认定。</w:t>
      </w:r>
    </w:p>
    <w:p w14:paraId="7BEB2AC3">
      <w:pPr>
        <w:kinsoku/>
        <w:overflowPunct w:val="0"/>
        <w:topLinePunct/>
        <w:autoSpaceDE/>
        <w:autoSpaceDN/>
        <w:spacing w:before="0" w:line="560" w:lineRule="exact"/>
        <w:ind w:left="0" w:righ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pacing w:val="0"/>
          <w:sz w:val="32"/>
          <w:szCs w:val="32"/>
        </w:rPr>
        <w:t>（二）学校引进的A-C类人才或一级学科授权点的学科带头人，经学校人才工作办公室审核同意后，可申请直接认定。</w:t>
      </w:r>
    </w:p>
    <w:p w14:paraId="2BBC4CF6">
      <w:pPr>
        <w:kinsoku/>
        <w:overflowPunct w:val="0"/>
        <w:topLinePunct/>
        <w:autoSpaceDE/>
        <w:autoSpaceDN/>
        <w:spacing w:before="0" w:line="56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pacing w:val="0"/>
          <w:sz w:val="32"/>
          <w:szCs w:val="32"/>
        </w:rPr>
        <w:t>（三）直接认定程序：申请人填写《研究生</w:t>
      </w:r>
      <w:r>
        <w:rPr>
          <w:rFonts w:hint="default" w:ascii="Times New Roman" w:hAnsi="Times New Roman" w:eastAsia="仿宋_GB2312" w:cs="Times New Roman"/>
          <w:spacing w:val="0"/>
          <w:sz w:val="32"/>
          <w:szCs w:val="32"/>
          <w:lang w:val="en-US" w:eastAsia="zh-CN"/>
        </w:rPr>
        <w:t>导师岗位直接认定/解除聘任申请</w:t>
      </w:r>
      <w:r>
        <w:rPr>
          <w:rFonts w:hint="default" w:ascii="Times New Roman" w:hAnsi="Times New Roman" w:eastAsia="仿宋_GB2312" w:cs="Times New Roman"/>
          <w:spacing w:val="0"/>
          <w:sz w:val="32"/>
          <w:szCs w:val="32"/>
        </w:rPr>
        <w:t>审批表》，并将《审批表》和相应证明材料提交至学科专业所在学院，经学院学位评定分委员会审核同意后报研究生院，研究生院向校学位评定委员会通报并报校长办公会审批。</w:t>
      </w:r>
    </w:p>
    <w:p w14:paraId="04DB1133">
      <w:pPr>
        <w:kinsoku/>
        <w:overflowPunct w:val="0"/>
        <w:topLinePunct/>
        <w:autoSpaceDE/>
        <w:autoSpaceDN/>
        <w:spacing w:before="0" w:line="560" w:lineRule="exact"/>
        <w:ind w:left="0" w:firstLine="640" w:firstLineChars="200"/>
        <w:outlineLvl w:val="9"/>
        <w:rPr>
          <w:rFonts w:hint="default" w:ascii="Times New Roman" w:hAnsi="Times New Roman" w:eastAsia="黑体" w:cs="Times New Roman"/>
          <w:sz w:val="32"/>
          <w:szCs w:val="32"/>
        </w:rPr>
      </w:pPr>
      <w:r>
        <w:rPr>
          <w:rFonts w:hint="default" w:ascii="Times New Roman" w:hAnsi="Times New Roman" w:eastAsia="黑体" w:cs="Times New Roman"/>
          <w:b w:val="0"/>
          <w:bCs w:val="0"/>
          <w:spacing w:val="0"/>
          <w:sz w:val="32"/>
          <w:szCs w:val="32"/>
        </w:rPr>
        <w:t>七、其他</w:t>
      </w:r>
    </w:p>
    <w:p w14:paraId="6002EB1A">
      <w:pPr>
        <w:kinsoku/>
        <w:overflowPunct w:val="0"/>
        <w:topLinePunct/>
        <w:autoSpaceDE/>
        <w:autoSpaceDN/>
        <w:spacing w:before="0" w:line="560" w:lineRule="exact"/>
        <w:ind w:left="0" w:righ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pacing w:val="0"/>
          <w:sz w:val="32"/>
          <w:szCs w:val="32"/>
        </w:rPr>
        <w:t>（一）各学位评定分委员会可根据自身情况制定不低于学校规定的选聘标准，并报校学位评定委员会审核备案。</w:t>
      </w:r>
    </w:p>
    <w:p w14:paraId="3DED3C8E">
      <w:pPr>
        <w:kinsoku/>
        <w:overflowPunct w:val="0"/>
        <w:topLinePunct/>
        <w:autoSpaceDE/>
        <w:autoSpaceDN/>
        <w:spacing w:before="0" w:line="560" w:lineRule="exact"/>
        <w:ind w:left="0" w:righ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pacing w:val="0"/>
          <w:sz w:val="32"/>
          <w:szCs w:val="32"/>
        </w:rPr>
        <w:t>（二）科学研究、社会服务业绩未经特殊说明的，申请人均须排名第一</w:t>
      </w:r>
      <w:r>
        <w:rPr>
          <w:rFonts w:hint="default" w:ascii="Times New Roman" w:hAnsi="Times New Roman" w:eastAsia="仿宋_GB2312" w:cs="Times New Roman"/>
          <w:spacing w:val="0"/>
          <w:sz w:val="32"/>
          <w:szCs w:val="32"/>
          <w:lang w:eastAsia="zh-CN"/>
        </w:rPr>
        <w:t>（第一通讯作者视作排名第一）</w:t>
      </w:r>
      <w:r>
        <w:rPr>
          <w:rFonts w:hint="default" w:ascii="Times New Roman" w:hAnsi="Times New Roman" w:eastAsia="仿宋_GB2312" w:cs="Times New Roman"/>
          <w:spacing w:val="0"/>
          <w:sz w:val="32"/>
          <w:szCs w:val="32"/>
        </w:rPr>
        <w:t>，具体业绩数量均指至少达到的数量。</w:t>
      </w:r>
    </w:p>
    <w:p w14:paraId="6D52BACE">
      <w:pPr>
        <w:kinsoku/>
        <w:overflowPunct w:val="0"/>
        <w:topLinePunct/>
        <w:autoSpaceDE/>
        <w:autoSpaceDN/>
        <w:spacing w:before="0" w:line="560" w:lineRule="exact"/>
        <w:ind w:left="0" w:righ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pacing w:val="0"/>
          <w:sz w:val="32"/>
          <w:szCs w:val="32"/>
        </w:rPr>
        <w:t>（三）我校35周岁及以下青年博士申请专业型导师岗位时，不满足业绩条件的，但在某一业绩中特别突出的，可以破格申请。</w:t>
      </w:r>
    </w:p>
    <w:p w14:paraId="5A893301">
      <w:pPr>
        <w:kinsoku/>
        <w:overflowPunct w:val="0"/>
        <w:topLinePunct/>
        <w:autoSpaceDE/>
        <w:autoSpaceDN/>
        <w:spacing w:before="0" w:line="560" w:lineRule="exact"/>
        <w:ind w:left="0" w:righ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pacing w:val="0"/>
          <w:sz w:val="32"/>
          <w:szCs w:val="32"/>
        </w:rPr>
        <w:t>（四）导师岗位与学科专业相对应。导师只能在导师岗位对应的学科专业上招收研究生，学术型导师岗位原则上不超过2个、专业型导师岗位不超过3个。若需增聘或解聘某一学科专业上的导师岗位，可自行提出申请。</w:t>
      </w:r>
    </w:p>
    <w:p w14:paraId="020C32A9">
      <w:pPr>
        <w:kinsoku/>
        <w:overflowPunct w:val="0"/>
        <w:topLinePunct/>
        <w:autoSpaceDE/>
        <w:autoSpaceDN/>
        <w:spacing w:before="0" w:line="56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pacing w:val="0"/>
          <w:sz w:val="32"/>
          <w:szCs w:val="32"/>
        </w:rPr>
        <w:t>（五）外单位人员申请导师资格的需符合下列要求：单位之间或申请人与学位点之间有紧密合作关系；学术型导师应具有正高级专业技术职务，专业型导师应具有副高级及以上专业技术职务；学术型导师岗位不超过1个、专业型导师岗位不超过1个。</w:t>
      </w:r>
    </w:p>
    <w:p w14:paraId="41904B9E">
      <w:pPr>
        <w:kinsoku/>
        <w:overflowPunct w:val="0"/>
        <w:topLinePunct/>
        <w:autoSpaceDE/>
        <w:autoSpaceDN/>
        <w:spacing w:before="0" w:line="560" w:lineRule="exact"/>
        <w:ind w:left="0" w:right="0" w:firstLine="640" w:firstLineChars="200"/>
        <w:jc w:val="both"/>
        <w:rPr>
          <w:rFonts w:hint="default" w:ascii="Times New Roman" w:hAnsi="Times New Roman" w:eastAsia="仿宋" w:cs="Times New Roman"/>
          <w:sz w:val="32"/>
          <w:szCs w:val="32"/>
        </w:rPr>
      </w:pPr>
      <w:r>
        <w:rPr>
          <w:rFonts w:hint="default" w:ascii="Times New Roman" w:hAnsi="Times New Roman" w:eastAsia="仿宋_GB2312" w:cs="Times New Roman"/>
          <w:spacing w:val="0"/>
          <w:sz w:val="32"/>
          <w:szCs w:val="32"/>
        </w:rPr>
        <w:t>（六）本办法自颁布之日起开始施行，原《硕士研究生指导教师遴选与管理办法</w:t>
      </w:r>
      <w:r>
        <w:rPr>
          <w:rFonts w:hint="default" w:ascii="Times New Roman" w:hAnsi="Times New Roman" w:eastAsia="仿宋_GB2312" w:cs="Times New Roman"/>
          <w:spacing w:val="0"/>
          <w:sz w:val="32"/>
          <w:szCs w:val="32"/>
          <w:lang w:eastAsia="zh-CN"/>
        </w:rPr>
        <w:t>（</w:t>
      </w:r>
      <w:r>
        <w:rPr>
          <w:rFonts w:hint="default" w:ascii="Times New Roman" w:hAnsi="Times New Roman" w:eastAsia="仿宋_GB2312" w:cs="Times New Roman"/>
          <w:spacing w:val="0"/>
          <w:sz w:val="32"/>
          <w:szCs w:val="32"/>
        </w:rPr>
        <w:t>试行</w:t>
      </w:r>
      <w:r>
        <w:rPr>
          <w:rFonts w:hint="default" w:ascii="Times New Roman" w:hAnsi="Times New Roman" w:eastAsia="仿宋_GB2312" w:cs="Times New Roman"/>
          <w:spacing w:val="0"/>
          <w:sz w:val="32"/>
          <w:szCs w:val="32"/>
          <w:lang w:eastAsia="zh-CN"/>
        </w:rPr>
        <w:t>）</w:t>
      </w:r>
      <w:r>
        <w:rPr>
          <w:rFonts w:hint="default" w:ascii="Times New Roman" w:hAnsi="Times New Roman" w:eastAsia="仿宋_GB2312" w:cs="Times New Roman"/>
          <w:spacing w:val="0"/>
          <w:sz w:val="32"/>
          <w:szCs w:val="32"/>
        </w:rPr>
        <w:t>》</w:t>
      </w:r>
      <w:r>
        <w:rPr>
          <w:rFonts w:hint="default" w:ascii="Times New Roman" w:hAnsi="Times New Roman" w:eastAsia="仿宋_GB2312" w:cs="Times New Roman"/>
          <w:spacing w:val="0"/>
          <w:sz w:val="32"/>
          <w:szCs w:val="32"/>
          <w:lang w:eastAsia="zh-CN"/>
        </w:rPr>
        <w:t>（</w:t>
      </w:r>
      <w:r>
        <w:rPr>
          <w:rFonts w:hint="default" w:ascii="Times New Roman" w:hAnsi="Times New Roman" w:eastAsia="仿宋_GB2312" w:cs="Times New Roman"/>
          <w:spacing w:val="0"/>
          <w:sz w:val="32"/>
          <w:szCs w:val="32"/>
        </w:rPr>
        <w:t>湖师院发〔2018〕46号</w:t>
      </w:r>
      <w:r>
        <w:rPr>
          <w:rFonts w:hint="default" w:ascii="Times New Roman" w:hAnsi="Times New Roman" w:eastAsia="仿宋_GB2312" w:cs="Times New Roman"/>
          <w:spacing w:val="0"/>
          <w:sz w:val="32"/>
          <w:szCs w:val="32"/>
          <w:lang w:eastAsia="zh-CN"/>
        </w:rPr>
        <w:t>）</w:t>
      </w:r>
      <w:r>
        <w:rPr>
          <w:rFonts w:hint="default" w:ascii="Times New Roman" w:hAnsi="Times New Roman" w:eastAsia="仿宋_GB2312" w:cs="Times New Roman"/>
          <w:spacing w:val="0"/>
          <w:sz w:val="32"/>
          <w:szCs w:val="32"/>
        </w:rPr>
        <w:t>同时废止。本办法由校行政负责解释，学校研究生院具体承办。</w:t>
      </w:r>
    </w:p>
    <w:sectPr>
      <w:footerReference r:id="rId5" w:type="default"/>
      <w:pgSz w:w="11906" w:h="16839"/>
      <w:pgMar w:top="1431" w:right="1462" w:bottom="1453" w:left="1551" w:header="0" w:footer="120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90CC25E1-AAE1-62C5-8776-F16908BF8AB3}"/>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仿宋">
    <w:altName w:val="方正仿宋_GBK"/>
    <w:panose1 w:val="02010609060101010101"/>
    <w:charset w:val="86"/>
    <w:family w:val="auto"/>
    <w:pitch w:val="default"/>
    <w:sig w:usb0="00000000" w:usb1="00000000" w:usb2="00000016" w:usb3="00000000" w:csb0="00040001" w:csb1="00000000"/>
  </w:font>
  <w:font w:name="方正小标宋简体">
    <w:panose1 w:val="02010600010101010101"/>
    <w:charset w:val="86"/>
    <w:family w:val="auto"/>
    <w:pitch w:val="default"/>
    <w:sig w:usb0="00000001" w:usb1="080E0000" w:usb2="00000000" w:usb3="00000000" w:csb0="00040000" w:csb1="00000000"/>
    <w:embedRegular r:id="rId2" w:fontKey="{A0E51241-D181-CB86-8776-F169D3D926AA}"/>
  </w:font>
  <w:font w:name="仿宋_GB2312">
    <w:altName w:val="方正仿宋_GBK"/>
    <w:panose1 w:val="00000000000000000000"/>
    <w:charset w:val="00"/>
    <w:family w:val="auto"/>
    <w:pitch w:val="default"/>
    <w:sig w:usb0="00000000" w:usb1="00000000" w:usb2="00000000" w:usb3="00000000" w:csb0="00000000" w:csb1="00000000"/>
  </w:font>
  <w:font w:name="汉仪书宋二KW">
    <w:panose1 w:val="00020600040101010101"/>
    <w:charset w:val="86"/>
    <w:family w:val="auto"/>
    <w:pitch w:val="default"/>
    <w:sig w:usb0="A00002BF" w:usb1="18EF7CFA" w:usb2="00000016" w:usb3="00000000" w:csb0="00040000" w:csb1="00000000"/>
  </w:font>
  <w:font w:name="方正仿宋_GBK">
    <w:panose1 w:val="02000000000000000000"/>
    <w:charset w:val="86"/>
    <w:family w:val="auto"/>
    <w:pitch w:val="default"/>
    <w:sig w:usb0="A00002BF" w:usb1="38CF7CFA" w:usb2="00082016" w:usb3="00000000" w:csb0="00040001" w:csb1="00000000"/>
  </w:font>
  <w:font w:name="汉仪中黑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2DD4B">
    <w:pPr>
      <w:spacing w:line="181" w:lineRule="auto"/>
      <w:ind w:left="8369"/>
      <w:rPr>
        <w:rFonts w:ascii="Times New Roman" w:hAnsi="Times New Roman" w:eastAsia="Times New Roman" w:cs="Times New Roman"/>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CF61502"/>
    <w:multiLevelType w:val="singleLevel"/>
    <w:tmpl w:val="5CF61502"/>
    <w:lvl w:ilvl="0" w:tentative="0">
      <w:start w:val="5"/>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displayBackgroundShape w:val="1"/>
  <w:embedTrueTypeFonts/>
  <w:saveSubsetFonts/>
  <w:bordersDoNotSurroundHeader w:val="0"/>
  <w:bordersDoNotSurroundFooter w:val="0"/>
  <w:revisionView w:markup="0"/>
  <w:trackRevisions w:val="1"/>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3C230FA"/>
    <w:rsid w:val="0ADF4703"/>
    <w:rsid w:val="0FCB3337"/>
    <w:rsid w:val="197FC472"/>
    <w:rsid w:val="1BE50B7F"/>
    <w:rsid w:val="214E6635"/>
    <w:rsid w:val="2647563E"/>
    <w:rsid w:val="29A02139"/>
    <w:rsid w:val="2AEE2641"/>
    <w:rsid w:val="337A0A4C"/>
    <w:rsid w:val="34825E0A"/>
    <w:rsid w:val="38466369"/>
    <w:rsid w:val="3EFEAEF0"/>
    <w:rsid w:val="3FF32E23"/>
    <w:rsid w:val="4033445D"/>
    <w:rsid w:val="440C719A"/>
    <w:rsid w:val="44A14DF4"/>
    <w:rsid w:val="49B450F4"/>
    <w:rsid w:val="4B1E3BDB"/>
    <w:rsid w:val="591B46E6"/>
    <w:rsid w:val="5A3D61EA"/>
    <w:rsid w:val="5BCC3570"/>
    <w:rsid w:val="7006763E"/>
    <w:rsid w:val="76906478"/>
    <w:rsid w:val="775D5A76"/>
    <w:rsid w:val="7E1D4530"/>
    <w:rsid w:val="7EFB3DBC"/>
    <w:rsid w:val="7FE3A631"/>
    <w:rsid w:val="CF9B05A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31"/>
      <w:szCs w:val="31"/>
      <w:lang w:val="en-US" w:eastAsia="en-US" w:bidi="ar-SA"/>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6">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6</Pages>
  <Words>2523</Words>
  <Characters>2555</Characters>
  <TotalTime>0</TotalTime>
  <ScaleCrop>false</ScaleCrop>
  <LinksUpToDate>false</LinksUpToDate>
  <CharactersWithSpaces>2555</CharactersWithSpaces>
  <Application>WPS Office_12.1.25205.25205_F1E327BC-269C-435d-A152-05C5408002CA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2026-04-22T17:57:00Z</dcterms:created>
  <dc:creator>admin</dc:creator>
  <cp:lastModifiedBy>陆毓佳Louise.</cp:lastModifiedBy>
  <cp:lastPrinted>2026-04-27T08:14:00Z</cp:lastPrinted>
  <dcterms:modified xsi:type="dcterms:W3CDTF">2026-04-29T11:09:59Z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2026-04-24T10:48:48Z</vt:filetime>
  </property>
  <property fmtid="{D5CDD505-2E9C-101B-9397-08002B2CF9AE}" pid="4" name="KSOTemplateDocerSaveRecord">
    <vt:lpwstr>eyJoZGlkIjoiOTYwZmM5YjM1ZDc1NTdiY2EwNGVjMmMxZTkwYTNjNmMiLCJ1c2VySWQiOiIyNjQzODg0MDgifQ==</vt:lpwstr>
  </property>
  <property fmtid="{D5CDD505-2E9C-101B-9397-08002B2CF9AE}" pid="5" name="KSOProductBuildVer">
    <vt:lpwstr>2052-12.1.25205.25205</vt:lpwstr>
  </property>
  <property fmtid="{D5CDD505-2E9C-101B-9397-08002B2CF9AE}" pid="6" name="ICV">
    <vt:lpwstr>647216344EA44E43A521725D05306678_12</vt:lpwstr>
  </property>
</Properties>
</file>